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61" w:rsidRDefault="008A3CBA" w:rsidP="004B70AE">
      <w:pPr>
        <w:bidi w:val="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the general strategic plan for deanship of libraries affairs </w:t>
      </w:r>
    </w:p>
    <w:p w:rsidR="00F03F3A" w:rsidRPr="00F03F3A" w:rsidRDefault="00F03F3A" w:rsidP="00F03F3A">
      <w:pPr>
        <w:bidi w:val="0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The strategic goal:  </w:t>
      </w:r>
      <w:r w:rsidR="006452A9">
        <w:rPr>
          <w:b/>
          <w:bCs/>
          <w:color w:val="auto"/>
          <w:sz w:val="32"/>
          <w:szCs w:val="32"/>
        </w:rPr>
        <w:t>Providing academic service at the highest level of quality according to the national and international requirements</w:t>
      </w:r>
      <w:r w:rsidR="00701FAF">
        <w:rPr>
          <w:b/>
          <w:bCs/>
          <w:color w:val="auto"/>
          <w:sz w:val="32"/>
          <w:szCs w:val="32"/>
        </w:rPr>
        <w:t xml:space="preserve"> for the sake of creating competition and challenge spirit in students to keep up with the needs of the labor market</w:t>
      </w:r>
      <w:r w:rsidR="006452A9">
        <w:rPr>
          <w:b/>
          <w:bCs/>
          <w:color w:val="auto"/>
          <w:sz w:val="32"/>
          <w:szCs w:val="32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11CD4" w:rsidTr="00A11CD4">
        <w:tc>
          <w:tcPr>
            <w:tcW w:w="2957" w:type="dxa"/>
          </w:tcPr>
          <w:p w:rsidR="00A11CD4" w:rsidRDefault="003C71F1" w:rsidP="00A11CD4">
            <w:pPr>
              <w:bidi w:val="0"/>
              <w:jc w:val="both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goal</w:t>
            </w:r>
            <w:r w:rsidR="0058763A">
              <w:rPr>
                <w:color w:val="auto"/>
                <w:sz w:val="32"/>
                <w:szCs w:val="32"/>
              </w:rPr>
              <w:t>s</w:t>
            </w:r>
          </w:p>
        </w:tc>
        <w:tc>
          <w:tcPr>
            <w:tcW w:w="2957" w:type="dxa"/>
          </w:tcPr>
          <w:p w:rsidR="00A11CD4" w:rsidRDefault="003C71F1" w:rsidP="00A11CD4">
            <w:pPr>
              <w:bidi w:val="0"/>
              <w:jc w:val="both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measurements and indicators </w:t>
            </w:r>
          </w:p>
        </w:tc>
        <w:tc>
          <w:tcPr>
            <w:tcW w:w="2957" w:type="dxa"/>
          </w:tcPr>
          <w:p w:rsidR="00A11CD4" w:rsidRDefault="007A1E5A" w:rsidP="00A11CD4">
            <w:pPr>
              <w:bidi w:val="0"/>
              <w:jc w:val="both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target </w:t>
            </w:r>
          </w:p>
        </w:tc>
        <w:tc>
          <w:tcPr>
            <w:tcW w:w="2957" w:type="dxa"/>
          </w:tcPr>
          <w:p w:rsidR="00A11CD4" w:rsidRDefault="003C71F1" w:rsidP="00A11CD4">
            <w:pPr>
              <w:bidi w:val="0"/>
              <w:jc w:val="both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initiatives </w:t>
            </w:r>
          </w:p>
        </w:tc>
        <w:tc>
          <w:tcPr>
            <w:tcW w:w="2958" w:type="dxa"/>
          </w:tcPr>
          <w:p w:rsidR="00A11CD4" w:rsidRDefault="007A1E5A" w:rsidP="00A11CD4">
            <w:pPr>
              <w:bidi w:val="0"/>
              <w:jc w:val="both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responsible authority </w:t>
            </w:r>
          </w:p>
        </w:tc>
      </w:tr>
      <w:tr w:rsidR="007A1E5A" w:rsidTr="00A11CD4">
        <w:tc>
          <w:tcPr>
            <w:tcW w:w="2957" w:type="dxa"/>
          </w:tcPr>
          <w:p w:rsidR="007A1E5A" w:rsidRPr="007A1E5A" w:rsidRDefault="007A1E5A" w:rsidP="00A11CD4">
            <w:pPr>
              <w:bidi w:val="0"/>
              <w:jc w:val="both"/>
              <w:rPr>
                <w:color w:val="auto"/>
                <w:sz w:val="24"/>
                <w:szCs w:val="24"/>
              </w:rPr>
            </w:pPr>
            <w:r w:rsidRPr="007A1E5A">
              <w:rPr>
                <w:color w:val="auto"/>
                <w:sz w:val="24"/>
                <w:szCs w:val="24"/>
              </w:rPr>
              <w:t xml:space="preserve">(1) enhancing </w:t>
            </w:r>
            <w:r>
              <w:rPr>
                <w:color w:val="auto"/>
                <w:sz w:val="24"/>
                <w:szCs w:val="24"/>
              </w:rPr>
              <w:t>students' skills and preparing them for the labor market</w:t>
            </w:r>
          </w:p>
        </w:tc>
        <w:tc>
          <w:tcPr>
            <w:tcW w:w="2957" w:type="dxa"/>
          </w:tcPr>
          <w:p w:rsidR="007A1E5A" w:rsidRDefault="00050FE3" w:rsidP="00A11CD4">
            <w:pPr>
              <w:bidi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number of male and female students who have courses in computer and English language.  </w:t>
            </w:r>
          </w:p>
          <w:p w:rsidR="007F0DDF" w:rsidRDefault="007F0DDF" w:rsidP="007F0DDF">
            <w:pPr>
              <w:bidi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average of female and male trinee compared to the total number</w:t>
            </w:r>
          </w:p>
          <w:p w:rsidR="007F0DDF" w:rsidRPr="007A1E5A" w:rsidRDefault="007F0DDF" w:rsidP="007F0DDF">
            <w:pPr>
              <w:bidi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A93459">
              <w:rPr>
                <w:color w:val="auto"/>
                <w:sz w:val="24"/>
                <w:szCs w:val="24"/>
              </w:rPr>
              <w:t xml:space="preserve"> the number of educational programs</w:t>
            </w:r>
            <w:r w:rsidR="004C7FB6">
              <w:rPr>
                <w:color w:val="auto"/>
                <w:sz w:val="24"/>
                <w:szCs w:val="24"/>
              </w:rPr>
              <w:t xml:space="preserve"> in the e-education </w:t>
            </w:r>
          </w:p>
        </w:tc>
        <w:tc>
          <w:tcPr>
            <w:tcW w:w="2957" w:type="dxa"/>
          </w:tcPr>
          <w:p w:rsidR="007A1E5A" w:rsidRDefault="00D1704E" w:rsidP="00A11CD4">
            <w:pPr>
              <w:bidi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Enhancing 20% of male and female graduates in english language and computer</w:t>
            </w:r>
          </w:p>
          <w:p w:rsidR="00D1704E" w:rsidRPr="007A1E5A" w:rsidRDefault="00D1704E" w:rsidP="00D1704E">
            <w:pPr>
              <w:bidi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1E5A" w:rsidRDefault="001D4517" w:rsidP="00A11CD4">
            <w:pPr>
              <w:bidi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-Preparing a training course for students on how to utilize the library </w:t>
            </w:r>
          </w:p>
          <w:p w:rsidR="001D4517" w:rsidRPr="007A1E5A" w:rsidRDefault="001D4517" w:rsidP="001D4517">
            <w:pPr>
              <w:bidi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Preparing a training course for students on how to utilize data bases and electronic information resources </w:t>
            </w:r>
          </w:p>
        </w:tc>
        <w:tc>
          <w:tcPr>
            <w:tcW w:w="2958" w:type="dxa"/>
          </w:tcPr>
          <w:p w:rsidR="007A1E5A" w:rsidRDefault="001D4517" w:rsidP="00A11CD4">
            <w:pPr>
              <w:bidi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Deanship of libraries affairs </w:t>
            </w:r>
          </w:p>
          <w:p w:rsidR="005810ED" w:rsidRPr="007A1E5A" w:rsidRDefault="005810ED" w:rsidP="005810ED">
            <w:pPr>
              <w:bidi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Deanship of Libraries affairs</w:t>
            </w:r>
          </w:p>
        </w:tc>
      </w:tr>
      <w:tr w:rsidR="00050FE3" w:rsidTr="00A11CD4">
        <w:tc>
          <w:tcPr>
            <w:tcW w:w="2957" w:type="dxa"/>
          </w:tcPr>
          <w:p w:rsidR="00050FE3" w:rsidRPr="007A1E5A" w:rsidRDefault="00050FE3" w:rsidP="00A11CD4">
            <w:pPr>
              <w:bidi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(2) improving programs and services of academic consultation in all university faculties </w:t>
            </w:r>
          </w:p>
        </w:tc>
        <w:tc>
          <w:tcPr>
            <w:tcW w:w="2957" w:type="dxa"/>
          </w:tcPr>
          <w:p w:rsidR="00050FE3" w:rsidRDefault="004C7FB6" w:rsidP="00A11CD4">
            <w:pPr>
              <w:bidi w:val="0"/>
              <w:jc w:val="both"/>
              <w:rPr>
                <w:color w:val="auto"/>
              </w:rPr>
            </w:pPr>
            <w:r>
              <w:rPr>
                <w:color w:val="auto"/>
              </w:rPr>
              <w:t>- per cent (students: academic guide)</w:t>
            </w:r>
          </w:p>
          <w:p w:rsidR="004C7FB6" w:rsidRDefault="004C7FB6" w:rsidP="004C7FB6">
            <w:pPr>
              <w:bidi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the number of yearly allocated days for academic consultation </w:t>
            </w:r>
          </w:p>
          <w:p w:rsidR="004C7FB6" w:rsidRPr="007A1E5A" w:rsidRDefault="004C7FB6" w:rsidP="004C7FB6">
            <w:pPr>
              <w:bidi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to what extent students are pleased with the academic service provided  </w:t>
            </w:r>
          </w:p>
        </w:tc>
        <w:tc>
          <w:tcPr>
            <w:tcW w:w="2957" w:type="dxa"/>
          </w:tcPr>
          <w:p w:rsidR="00050FE3" w:rsidRPr="007A1E5A" w:rsidRDefault="00D1704E" w:rsidP="00A11CD4">
            <w:pPr>
              <w:bidi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comprehensive plan for </w:t>
            </w:r>
            <w:r w:rsidR="00F047F9">
              <w:rPr>
                <w:color w:val="auto"/>
              </w:rPr>
              <w:t xml:space="preserve">programs and services of academic consultation </w:t>
            </w:r>
          </w:p>
        </w:tc>
        <w:tc>
          <w:tcPr>
            <w:tcW w:w="2957" w:type="dxa"/>
          </w:tcPr>
          <w:p w:rsidR="00050FE3" w:rsidRPr="007A1E5A" w:rsidRDefault="00BE131A" w:rsidP="00A11CD4">
            <w:pPr>
              <w:bidi w:val="0"/>
              <w:jc w:val="both"/>
              <w:rPr>
                <w:color w:val="auto"/>
              </w:rPr>
            </w:pPr>
            <w:r>
              <w:rPr>
                <w:color w:val="auto"/>
              </w:rPr>
              <w:t>Presenting guidance tours in the central library for freshmen</w:t>
            </w:r>
            <w:r w:rsidR="00267C05">
              <w:rPr>
                <w:color w:val="auto"/>
              </w:rPr>
              <w:t xml:space="preserve"> every semester</w:t>
            </w:r>
          </w:p>
        </w:tc>
        <w:tc>
          <w:tcPr>
            <w:tcW w:w="2958" w:type="dxa"/>
          </w:tcPr>
          <w:p w:rsidR="00050FE3" w:rsidRPr="007A1E5A" w:rsidRDefault="00267C05" w:rsidP="00A11CD4">
            <w:pPr>
              <w:bidi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</w:tc>
      </w:tr>
      <w:tr w:rsidR="00050FE3" w:rsidTr="00A11CD4">
        <w:tc>
          <w:tcPr>
            <w:tcW w:w="2957" w:type="dxa"/>
          </w:tcPr>
          <w:p w:rsidR="00050FE3" w:rsidRDefault="00050FE3" w:rsidP="00A11CD4">
            <w:pPr>
              <w:bidi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(3) improving students welfare programs </w:t>
            </w:r>
          </w:p>
        </w:tc>
        <w:tc>
          <w:tcPr>
            <w:tcW w:w="2957" w:type="dxa"/>
          </w:tcPr>
          <w:p w:rsidR="00050FE3" w:rsidRDefault="002D4904" w:rsidP="00A11CD4">
            <w:pPr>
              <w:bidi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the number of </w:t>
            </w:r>
            <w:r w:rsidR="00BC06CA">
              <w:rPr>
                <w:color w:val="auto"/>
              </w:rPr>
              <w:t xml:space="preserve">programs that have been developed and studied </w:t>
            </w:r>
          </w:p>
          <w:p w:rsidR="00BC06CA" w:rsidRPr="007A1E5A" w:rsidRDefault="00BC06CA" w:rsidP="00BC06CA">
            <w:pPr>
              <w:bidi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the number of students </w:t>
            </w:r>
            <w:r w:rsidR="0048288F">
              <w:rPr>
                <w:color w:val="auto"/>
              </w:rPr>
              <w:t xml:space="preserve">who benefit from the programs </w:t>
            </w:r>
            <w:r w:rsidR="004B70AE">
              <w:rPr>
                <w:color w:val="auto"/>
              </w:rPr>
              <w:t xml:space="preserve">compared to the total number </w:t>
            </w:r>
          </w:p>
        </w:tc>
        <w:tc>
          <w:tcPr>
            <w:tcW w:w="2957" w:type="dxa"/>
          </w:tcPr>
          <w:p w:rsidR="00050FE3" w:rsidRPr="007A1E5A" w:rsidRDefault="00234865" w:rsidP="00A11CD4">
            <w:pPr>
              <w:bidi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preparing </w:t>
            </w:r>
            <w:r w:rsidR="006152D5">
              <w:rPr>
                <w:color w:val="auto"/>
              </w:rPr>
              <w:t xml:space="preserve">a comprehensive document for special needs students in the university  </w:t>
            </w:r>
          </w:p>
        </w:tc>
        <w:tc>
          <w:tcPr>
            <w:tcW w:w="2957" w:type="dxa"/>
          </w:tcPr>
          <w:p w:rsidR="00050FE3" w:rsidRPr="007A1E5A" w:rsidRDefault="00267C05" w:rsidP="00A11CD4">
            <w:pPr>
              <w:bidi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studying problems and needs of special needs students </w:t>
            </w:r>
          </w:p>
        </w:tc>
        <w:tc>
          <w:tcPr>
            <w:tcW w:w="2958" w:type="dxa"/>
          </w:tcPr>
          <w:p w:rsidR="00050FE3" w:rsidRPr="007A1E5A" w:rsidRDefault="00267C05" w:rsidP="00A11CD4">
            <w:pPr>
              <w:bidi w:val="0"/>
              <w:jc w:val="both"/>
              <w:rPr>
                <w:color w:val="auto"/>
              </w:rPr>
            </w:pPr>
            <w:r>
              <w:rPr>
                <w:color w:val="auto"/>
              </w:rPr>
              <w:t>deanship of libraries affairs</w:t>
            </w:r>
          </w:p>
        </w:tc>
      </w:tr>
    </w:tbl>
    <w:p w:rsidR="00A11CD4" w:rsidRPr="008A3CBA" w:rsidRDefault="00A11CD4" w:rsidP="00A11CD4">
      <w:pPr>
        <w:bidi w:val="0"/>
        <w:jc w:val="both"/>
        <w:rPr>
          <w:color w:val="auto"/>
          <w:sz w:val="32"/>
          <w:szCs w:val="32"/>
        </w:rPr>
      </w:pPr>
    </w:p>
    <w:sectPr w:rsidR="00A11CD4" w:rsidRPr="008A3CBA" w:rsidSect="002F6ABD">
      <w:headerReference w:type="default" r:id="rId8"/>
      <w:footerReference w:type="default" r:id="rId9"/>
      <w:pgSz w:w="16838" w:h="11906" w:orient="landscape"/>
      <w:pgMar w:top="128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D7B" w:rsidRDefault="00754D7B" w:rsidP="002F6ABD">
      <w:r>
        <w:separator/>
      </w:r>
    </w:p>
  </w:endnote>
  <w:endnote w:type="continuationSeparator" w:id="1">
    <w:p w:rsidR="00754D7B" w:rsidRDefault="00754D7B" w:rsidP="002F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3A" w:rsidRDefault="000A296C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9.15pt;margin-top:-.95pt;width:39.4pt;height:23.75pt;z-index:251662336" filled="f" stroked="f">
          <v:textbox style="mso-next-textbox:#_x0000_s2051">
            <w:txbxContent>
              <w:p w:rsidR="0058763A" w:rsidRPr="00995AA4" w:rsidRDefault="000A296C" w:rsidP="003842FB">
                <w:pPr>
                  <w:jc w:val="center"/>
                  <w:rPr>
                    <w:b/>
                    <w:bCs/>
                    <w:color w:val="auto"/>
                    <w:sz w:val="30"/>
                    <w:szCs w:val="30"/>
                  </w:rPr>
                </w:pP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begin"/>
                </w:r>
                <w:r w:rsidR="0058763A" w:rsidRPr="00995AA4">
                  <w:rPr>
                    <w:b/>
                    <w:bCs/>
                    <w:color w:val="auto"/>
                    <w:sz w:val="30"/>
                    <w:szCs w:val="30"/>
                  </w:rPr>
                  <w:instrText xml:space="preserve"> PAGE   \* MERGEFORMAT </w:instrTex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separate"/>
                </w:r>
                <w:r w:rsidR="008C1094">
                  <w:rPr>
                    <w:b/>
                    <w:bCs/>
                    <w:noProof/>
                    <w:color w:val="auto"/>
                    <w:sz w:val="30"/>
                    <w:szCs w:val="30"/>
                    <w:rtl/>
                  </w:rPr>
                  <w:t>1</w: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56.25pt;margin-top:11.25pt;width:679.95pt;height:0;z-index:251664384" o:connectortype="straight" strokeweight="1.5pt">
          <w10:wrap anchorx="page"/>
        </v:shape>
      </w:pict>
    </w:r>
    <w:r>
      <w:rPr>
        <w:noProof/>
      </w:rPr>
      <w:pict>
        <v:shape id="_x0000_s2052" type="#_x0000_t32" style="position:absolute;left:0;text-align:left;margin-left:-1.7pt;margin-top:11.25pt;width:27.85pt;height:0;flip:x;z-index:251663360" o:connectortype="straight" strokeweight="1.5pt"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D7B" w:rsidRDefault="00754D7B" w:rsidP="002F6ABD">
      <w:r>
        <w:separator/>
      </w:r>
    </w:p>
  </w:footnote>
  <w:footnote w:type="continuationSeparator" w:id="1">
    <w:p w:rsidR="00754D7B" w:rsidRDefault="00754D7B" w:rsidP="002F6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3A" w:rsidRDefault="000A296C">
    <w:pPr>
      <w:pStyle w:val="a4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7pt;margin-top:22.6pt;width:737.9pt;height:.05pt;flip:x;z-index:251661312" o:connectortype="straight" strokeweight="1.5pt">
          <w10:wrap anchorx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2.85pt;margin-top:-26.15pt;width:589.6pt;height:44.15pt;z-index:251658240;mso-width-relative:margin;mso-height-relative:margin" stroked="f">
          <v:textbox style="mso-next-textbox:#_x0000_s2049">
            <w:txbxContent>
              <w:p w:rsidR="0058763A" w:rsidRPr="00995AA4" w:rsidRDefault="0058763A" w:rsidP="00126323">
                <w:pPr>
                  <w:rPr>
                    <w:rFonts w:cs="AL-Mateen"/>
                    <w:color w:val="auto"/>
                    <w:sz w:val="18"/>
                    <w:szCs w:val="18"/>
                  </w:rPr>
                </w:pPr>
                <w:r w:rsidRPr="00995AA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الخطة الاستراتيجية </w:t>
                </w:r>
                <w:r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العامة لعمادة </w:t>
                </w:r>
                <w:r>
                  <w:rPr>
                    <w:rFonts w:cs="AL-Mohanad Bold" w:hint="cs"/>
                    <w:color w:val="auto"/>
                    <w:sz w:val="32"/>
                    <w:szCs w:val="32"/>
                    <w:rtl/>
                    <w:lang w:bidi="ar-EG"/>
                  </w:rPr>
                  <w:t xml:space="preserve">شؤؤن المكتبات </w:t>
                </w:r>
                <w:r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 w:rsidRPr="00995AA4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 xml:space="preserve">البعد </w:t>
                </w:r>
                <w:r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>الأول : المستفيدون</w:t>
                </w:r>
              </w:p>
            </w:txbxContent>
          </v:textbox>
        </v:shape>
      </w:pict>
    </w:r>
    <w:r w:rsidR="0058763A" w:rsidRPr="002F6ABD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-389831</wp:posOffset>
          </wp:positionV>
          <wp:extent cx="1344930" cy="707367"/>
          <wp:effectExtent l="19050" t="0" r="762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0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7BC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9A95085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A006225"/>
    <w:multiLevelType w:val="hybridMultilevel"/>
    <w:tmpl w:val="D026007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2835"/>
    <w:multiLevelType w:val="hybridMultilevel"/>
    <w:tmpl w:val="78967DA0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47F7E"/>
    <w:multiLevelType w:val="hybridMultilevel"/>
    <w:tmpl w:val="368C1E40"/>
    <w:lvl w:ilvl="0" w:tplc="E41A53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0702"/>
    <w:multiLevelType w:val="hybridMultilevel"/>
    <w:tmpl w:val="F7EEEA06"/>
    <w:lvl w:ilvl="0" w:tplc="6D8E65FA">
      <w:start w:val="1"/>
      <w:numFmt w:val="decimal"/>
      <w:lvlText w:val="(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3C071D"/>
    <w:multiLevelType w:val="multilevel"/>
    <w:tmpl w:val="2D4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F7556B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74B6F6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C136318"/>
    <w:multiLevelType w:val="hybridMultilevel"/>
    <w:tmpl w:val="6B4842BE"/>
    <w:lvl w:ilvl="0" w:tplc="88222596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F35FE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501632F2"/>
    <w:multiLevelType w:val="hybridMultilevel"/>
    <w:tmpl w:val="E5A0AD26"/>
    <w:lvl w:ilvl="0" w:tplc="5434DFE4">
      <w:start w:val="4"/>
      <w:numFmt w:val="bullet"/>
      <w:lvlText w:val="-"/>
      <w:lvlJc w:val="left"/>
      <w:pPr>
        <w:ind w:left="53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>
    <w:nsid w:val="50AF0B44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4575344"/>
    <w:multiLevelType w:val="hybridMultilevel"/>
    <w:tmpl w:val="53D0C03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A2916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A9D7980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5C627702"/>
    <w:multiLevelType w:val="multilevel"/>
    <w:tmpl w:val="368C1E40"/>
    <w:lvl w:ilvl="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E0080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720"/>
      </w:pPr>
    </w:lvl>
    <w:lvl w:ilvl="2">
      <w:start w:val="1"/>
      <w:numFmt w:val="decimal"/>
      <w:lvlText w:val="%3."/>
      <w:lvlJc w:val="left"/>
      <w:pPr>
        <w:tabs>
          <w:tab w:val="num" w:pos="2443"/>
        </w:tabs>
        <w:ind w:left="2443" w:hanging="72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720"/>
      </w:pPr>
    </w:lvl>
    <w:lvl w:ilvl="4">
      <w:start w:val="1"/>
      <w:numFmt w:val="decimal"/>
      <w:lvlText w:val="%5."/>
      <w:lvlJc w:val="left"/>
      <w:pPr>
        <w:tabs>
          <w:tab w:val="num" w:pos="3883"/>
        </w:tabs>
        <w:ind w:left="3883" w:hanging="720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72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72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72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720"/>
      </w:pPr>
    </w:lvl>
  </w:abstractNum>
  <w:abstractNum w:abstractNumId="18">
    <w:nsid w:val="5F127819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FF5122A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647B1353"/>
    <w:multiLevelType w:val="hybridMultilevel"/>
    <w:tmpl w:val="FBA6BB2C"/>
    <w:lvl w:ilvl="0" w:tplc="76EC9702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60483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720"/>
      </w:pPr>
    </w:lvl>
    <w:lvl w:ilvl="1">
      <w:start w:val="1"/>
      <w:numFmt w:val="decimal"/>
      <w:lvlText w:val="%2."/>
      <w:lvlJc w:val="left"/>
      <w:pPr>
        <w:tabs>
          <w:tab w:val="num" w:pos="2290"/>
        </w:tabs>
        <w:ind w:left="2290" w:hanging="720"/>
      </w:pPr>
    </w:lvl>
    <w:lvl w:ilvl="2">
      <w:start w:val="1"/>
      <w:numFmt w:val="decimal"/>
      <w:lvlText w:val="%3."/>
      <w:lvlJc w:val="left"/>
      <w:pPr>
        <w:tabs>
          <w:tab w:val="num" w:pos="3010"/>
        </w:tabs>
        <w:ind w:left="3010" w:hanging="720"/>
      </w:pPr>
    </w:lvl>
    <w:lvl w:ilvl="3">
      <w:start w:val="1"/>
      <w:numFmt w:val="decimal"/>
      <w:lvlText w:val="%4."/>
      <w:lvlJc w:val="left"/>
      <w:pPr>
        <w:tabs>
          <w:tab w:val="num" w:pos="3730"/>
        </w:tabs>
        <w:ind w:left="3730" w:hanging="720"/>
      </w:pPr>
    </w:lvl>
    <w:lvl w:ilvl="4">
      <w:start w:val="1"/>
      <w:numFmt w:val="decimal"/>
      <w:lvlText w:val="%5."/>
      <w:lvlJc w:val="left"/>
      <w:pPr>
        <w:tabs>
          <w:tab w:val="num" w:pos="4450"/>
        </w:tabs>
        <w:ind w:left="4450" w:hanging="720"/>
      </w:pPr>
    </w:lvl>
    <w:lvl w:ilvl="5">
      <w:start w:val="1"/>
      <w:numFmt w:val="decimal"/>
      <w:lvlText w:val="%6."/>
      <w:lvlJc w:val="left"/>
      <w:pPr>
        <w:tabs>
          <w:tab w:val="num" w:pos="5170"/>
        </w:tabs>
        <w:ind w:left="5170" w:hanging="720"/>
      </w:pPr>
    </w:lvl>
    <w:lvl w:ilvl="6">
      <w:start w:val="1"/>
      <w:numFmt w:val="decimal"/>
      <w:lvlText w:val="%7."/>
      <w:lvlJc w:val="left"/>
      <w:pPr>
        <w:tabs>
          <w:tab w:val="num" w:pos="5890"/>
        </w:tabs>
        <w:ind w:left="5890" w:hanging="720"/>
      </w:pPr>
    </w:lvl>
    <w:lvl w:ilvl="7">
      <w:start w:val="1"/>
      <w:numFmt w:val="decimal"/>
      <w:lvlText w:val="%8."/>
      <w:lvlJc w:val="left"/>
      <w:pPr>
        <w:tabs>
          <w:tab w:val="num" w:pos="6610"/>
        </w:tabs>
        <w:ind w:left="6610" w:hanging="720"/>
      </w:pPr>
    </w:lvl>
    <w:lvl w:ilvl="8">
      <w:start w:val="1"/>
      <w:numFmt w:val="decimal"/>
      <w:lvlText w:val="%9."/>
      <w:lvlJc w:val="left"/>
      <w:pPr>
        <w:tabs>
          <w:tab w:val="num" w:pos="7330"/>
        </w:tabs>
        <w:ind w:left="7330" w:hanging="720"/>
      </w:pPr>
    </w:lvl>
  </w:abstractNum>
  <w:abstractNum w:abstractNumId="22">
    <w:nsid w:val="69DB5358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BBA1951"/>
    <w:multiLevelType w:val="multilevel"/>
    <w:tmpl w:val="CA0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>
    <w:nsid w:val="6BC70FB1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75521AA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9CF3A9B"/>
    <w:multiLevelType w:val="hybridMultilevel"/>
    <w:tmpl w:val="0888A568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73C34"/>
    <w:multiLevelType w:val="hybridMultilevel"/>
    <w:tmpl w:val="43DCCD80"/>
    <w:lvl w:ilvl="0" w:tplc="78BA1482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53AFC"/>
    <w:multiLevelType w:val="hybridMultilevel"/>
    <w:tmpl w:val="381AC162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5"/>
  </w:num>
  <w:num w:numId="4">
    <w:abstractNumId w:val="7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4"/>
  </w:num>
  <w:num w:numId="9">
    <w:abstractNumId w:val="22"/>
  </w:num>
  <w:num w:numId="10">
    <w:abstractNumId w:val="12"/>
  </w:num>
  <w:num w:numId="11">
    <w:abstractNumId w:val="18"/>
  </w:num>
  <w:num w:numId="12">
    <w:abstractNumId w:val="0"/>
  </w:num>
  <w:num w:numId="13">
    <w:abstractNumId w:val="1"/>
  </w:num>
  <w:num w:numId="14">
    <w:abstractNumId w:val="24"/>
  </w:num>
  <w:num w:numId="15">
    <w:abstractNumId w:val="11"/>
  </w:num>
  <w:num w:numId="16">
    <w:abstractNumId w:val="1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5"/>
  </w:num>
  <w:num w:numId="20">
    <w:abstractNumId w:val="10"/>
  </w:num>
  <w:num w:numId="21">
    <w:abstractNumId w:val="4"/>
  </w:num>
  <w:num w:numId="22">
    <w:abstractNumId w:val="16"/>
  </w:num>
  <w:num w:numId="23">
    <w:abstractNumId w:val="20"/>
  </w:num>
  <w:num w:numId="24">
    <w:abstractNumId w:val="26"/>
  </w:num>
  <w:num w:numId="25">
    <w:abstractNumId w:val="27"/>
  </w:num>
  <w:num w:numId="26">
    <w:abstractNumId w:val="28"/>
  </w:num>
  <w:num w:numId="27">
    <w:abstractNumId w:val="9"/>
  </w:num>
  <w:num w:numId="28">
    <w:abstractNumId w:val="2"/>
  </w:num>
  <w:num w:numId="29">
    <w:abstractNumId w:val="3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1746">
      <o:colormenu v:ext="edit" fillcolor="none" strokecolor="none"/>
    </o:shapedefaults>
    <o:shapelayout v:ext="edit">
      <o:idmap v:ext="edit" data="2"/>
      <o:rules v:ext="edit">
        <o:r id="V:Rule4" type="connector" idref="#_x0000_s2052"/>
        <o:r id="V:Rule5" type="connector" idref="#_x0000_s2050"/>
        <o:r id="V:Rule6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6ABD"/>
    <w:rsid w:val="00047632"/>
    <w:rsid w:val="00050FE3"/>
    <w:rsid w:val="000779D0"/>
    <w:rsid w:val="000A296C"/>
    <w:rsid w:val="000C10AD"/>
    <w:rsid w:val="000E53D0"/>
    <w:rsid w:val="00115A14"/>
    <w:rsid w:val="00126323"/>
    <w:rsid w:val="001D4517"/>
    <w:rsid w:val="00234865"/>
    <w:rsid w:val="002454EA"/>
    <w:rsid w:val="00267C05"/>
    <w:rsid w:val="00280D46"/>
    <w:rsid w:val="002909FD"/>
    <w:rsid w:val="002D4904"/>
    <w:rsid w:val="002F6ABD"/>
    <w:rsid w:val="003842FB"/>
    <w:rsid w:val="00394585"/>
    <w:rsid w:val="003A1BA9"/>
    <w:rsid w:val="003A494A"/>
    <w:rsid w:val="003B1747"/>
    <w:rsid w:val="003C6D61"/>
    <w:rsid w:val="003C71F1"/>
    <w:rsid w:val="0048288F"/>
    <w:rsid w:val="0049720D"/>
    <w:rsid w:val="004B70AE"/>
    <w:rsid w:val="004C7FB6"/>
    <w:rsid w:val="005218C5"/>
    <w:rsid w:val="005339F3"/>
    <w:rsid w:val="0053557D"/>
    <w:rsid w:val="005810ED"/>
    <w:rsid w:val="0058763A"/>
    <w:rsid w:val="00593D52"/>
    <w:rsid w:val="00614A13"/>
    <w:rsid w:val="006152D5"/>
    <w:rsid w:val="006452A9"/>
    <w:rsid w:val="00647556"/>
    <w:rsid w:val="00664635"/>
    <w:rsid w:val="00672FE6"/>
    <w:rsid w:val="0068687D"/>
    <w:rsid w:val="006C58B5"/>
    <w:rsid w:val="006F4EDA"/>
    <w:rsid w:val="00701FAF"/>
    <w:rsid w:val="00754D7B"/>
    <w:rsid w:val="00756CF6"/>
    <w:rsid w:val="00760E4C"/>
    <w:rsid w:val="00761737"/>
    <w:rsid w:val="007A1E5A"/>
    <w:rsid w:val="007E7BC4"/>
    <w:rsid w:val="007F0DDF"/>
    <w:rsid w:val="00824A55"/>
    <w:rsid w:val="00880205"/>
    <w:rsid w:val="00891151"/>
    <w:rsid w:val="008A2913"/>
    <w:rsid w:val="008A3CBA"/>
    <w:rsid w:val="008C1094"/>
    <w:rsid w:val="008F59B9"/>
    <w:rsid w:val="008F655C"/>
    <w:rsid w:val="00903646"/>
    <w:rsid w:val="00995AA4"/>
    <w:rsid w:val="009A0B78"/>
    <w:rsid w:val="009A5860"/>
    <w:rsid w:val="009E5129"/>
    <w:rsid w:val="009F03D5"/>
    <w:rsid w:val="00A11CD4"/>
    <w:rsid w:val="00A93459"/>
    <w:rsid w:val="00AA07BA"/>
    <w:rsid w:val="00AC55BF"/>
    <w:rsid w:val="00B423F0"/>
    <w:rsid w:val="00BC06CA"/>
    <w:rsid w:val="00BE131A"/>
    <w:rsid w:val="00BF70E6"/>
    <w:rsid w:val="00C127BC"/>
    <w:rsid w:val="00C414BE"/>
    <w:rsid w:val="00C9672C"/>
    <w:rsid w:val="00D0287C"/>
    <w:rsid w:val="00D1704E"/>
    <w:rsid w:val="00D339B0"/>
    <w:rsid w:val="00DB3BEB"/>
    <w:rsid w:val="00DB4A52"/>
    <w:rsid w:val="00E117BF"/>
    <w:rsid w:val="00E1621C"/>
    <w:rsid w:val="00E35BFC"/>
    <w:rsid w:val="00ED6E3B"/>
    <w:rsid w:val="00F03F3A"/>
    <w:rsid w:val="00F047F9"/>
    <w:rsid w:val="00F35C87"/>
    <w:rsid w:val="00F412D1"/>
    <w:rsid w:val="00F61B58"/>
    <w:rsid w:val="00FB062C"/>
    <w:rsid w:val="00FB47E6"/>
    <w:rsid w:val="00FC394A"/>
    <w:rsid w:val="00FC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A4"/>
    <w:pPr>
      <w:bidi/>
      <w:spacing w:after="0" w:line="240" w:lineRule="auto"/>
    </w:pPr>
    <w:rPr>
      <w:rFonts w:ascii="Times New Roman" w:eastAsia="Times New Roman" w:hAnsi="Times New Roman" w:cs="Traditional Arabic"/>
      <w:smallCaps/>
      <w:color w:val="00FF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F6AB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2F6ABD"/>
  </w:style>
  <w:style w:type="paragraph" w:styleId="a5">
    <w:name w:val="footer"/>
    <w:basedOn w:val="a"/>
    <w:link w:val="Char0"/>
    <w:uiPriority w:val="99"/>
    <w:unhideWhenUsed/>
    <w:rsid w:val="002F6AB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2F6ABD"/>
  </w:style>
  <w:style w:type="paragraph" w:styleId="a6">
    <w:name w:val="List Paragraph"/>
    <w:basedOn w:val="a"/>
    <w:uiPriority w:val="99"/>
    <w:qFormat/>
    <w:rsid w:val="00756CF6"/>
    <w:pPr>
      <w:ind w:left="720"/>
      <w:contextualSpacing/>
    </w:pPr>
    <w:rPr>
      <w:rFonts w:cs="AL-Mohanad"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DA47-942F-4DEC-815D-C5A43023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osama</cp:lastModifiedBy>
  <cp:revision>32</cp:revision>
  <dcterms:created xsi:type="dcterms:W3CDTF">2011-11-29T17:50:00Z</dcterms:created>
  <dcterms:modified xsi:type="dcterms:W3CDTF">2013-03-17T06:12:00Z</dcterms:modified>
</cp:coreProperties>
</file>