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B67D6D" w:rsidRPr="006F4EDA" w:rsidRDefault="00B67D6D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B67D6D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 : التوسع في تحقيق التنمية الاقتصادية للجامعة بما يفي بمتطلبات التنمية المستدامة للبيئة المحلية.</w:t>
            </w:r>
          </w:p>
        </w:tc>
      </w:tr>
      <w:tr w:rsidR="00995AA4" w:rsidRPr="00C414BE" w:rsidTr="00334632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تنمية  الإيرادات المالية للكليات والعماداتفي الميزانية المعتمدة سنوياً .</w:t>
            </w:r>
          </w:p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مشاركات رجال الأعمال والقطاعات المتخصصة في برامج الجامعة.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نسب زيادة المخصصات المالية والميزانية بالكلية.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الكراسي البحثية.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مراكز التميز والبحوث المدعومة من خارج الكلية.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الدورات التي تقدم إلى المجتمع المحلي ومؤسساته.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نمو</w:t>
            </w:r>
            <w:r w:rsidRPr="00B67D6D"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  <w:t>20% من الميزانية المعتمدة للكلية سنوياً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</w:p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تنفيذ دورات حول الاتجاهات الحديثة في البحث وطرق مراسلة المؤسسات الخاصة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شئون المكتبات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الخطط المالية والميزانيات .</w:t>
            </w:r>
          </w:p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 xml:space="preserve"> عدد الخطط المالية والميزانيات المعتمدة.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نمو إجمالي الموارد المالية المنفقة على الخدمات العلمية والبحثية والأنشطة في العام الدراسي السابق للخطة.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ورش العمل وحلقات النقاش حول الخطط المالية والميزانيات.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خطة مالية لكل كلية وعمادة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عقد ورش عمل  في العمادة  لمناقشة الاحتياجات المالية والموازنات المالية.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ميزانية سنوية للعمادة  وإشراك جميع وحدات الإدارية في وضع الميزانية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ميزانيات المشاريع المستقبلية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تحسين معدلات الإنفاق في ضوء تحديد الأولويات .</w:t>
            </w:r>
          </w:p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معدل الإنفاق الكلي لميزانية الجامعة  على الوحدات الأكاديمية والإدارية بالجامعة.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مصروفات الأقسام بالنسبة إلى إجمالي ميزانية الكلية أو العمادة.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تقرير سنوي  تفصيلي لوجه الإنفاق المالي بالكلياتوالعمادات.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خطة مالية للإنفاق  في العمادة</w:t>
            </w:r>
            <w: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مبنية على تحديد الأولويات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widowControl w:val="0"/>
              <w:adjustRightInd w:val="0"/>
              <w:jc w:val="center"/>
              <w:textAlignment w:val="baseline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تحديد الاحتياجات المالية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widowControl w:val="0"/>
              <w:adjustRightInd w:val="0"/>
              <w:jc w:val="center"/>
              <w:textAlignment w:val="baseline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(4)-العمل على إكمال اللوائح والتنظيمات والتشريعات  المحددة لآليات استقبال الموارد المالية للكليات و العمادات  وجعلها متاحة للجميع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اللوائح التنظيمية المكتملة 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حجم الموارد المالية للكلية نظير الخدمات التي تقدمها للمجتمع.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لائحة موحدة لآلية استقبال الموارد المالية.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إنجاز100 %من  اللوائح والتنظيمات والتشريعات  المحددة لآليات استقبال</w:t>
            </w:r>
          </w:p>
          <w:p w:rsidR="00B67D6D" w:rsidRPr="00B67D6D" w:rsidRDefault="00B67D6D" w:rsidP="00B67D6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الموارد المالية بنهاية سنوات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تشكيل لجنة لإعداد اللائحة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برنامج للشراكة مع أحد المؤسسات المجتمعية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</w:t>
            </w:r>
          </w:p>
        </w:tc>
      </w:tr>
    </w:tbl>
    <w:p w:rsidR="00082A27" w:rsidRDefault="00082A27" w:rsidP="00082A27">
      <w:pPr>
        <w:bidi w:val="0"/>
        <w:rPr>
          <w:color w:val="auto"/>
        </w:rPr>
      </w:pPr>
      <w:r>
        <w:rPr>
          <w:color w:val="auto"/>
        </w:rPr>
        <w:t xml:space="preserve">forth dimension: financial and economic </w:t>
      </w:r>
    </w:p>
    <w:p w:rsidR="00082A27" w:rsidRDefault="00082A27" w:rsidP="00082A27">
      <w:pPr>
        <w:bidi w:val="0"/>
        <w:rPr>
          <w:color w:val="auto"/>
        </w:rPr>
      </w:pPr>
      <w:r>
        <w:rPr>
          <w:color w:val="auto"/>
        </w:rPr>
        <w:t xml:space="preserve">general strategic plan for deanship of libraries affairs </w:t>
      </w:r>
    </w:p>
    <w:tbl>
      <w:tblPr>
        <w:tblStyle w:val="TableGrid"/>
        <w:tblW w:w="0" w:type="auto"/>
        <w:tblLook w:val="04A0"/>
      </w:tblPr>
      <w:tblGrid>
        <w:gridCol w:w="14786"/>
      </w:tblGrid>
      <w:tr w:rsidR="00082A27" w:rsidTr="00082A27">
        <w:tc>
          <w:tcPr>
            <w:tcW w:w="1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27" w:rsidRDefault="00082A27">
            <w:pPr>
              <w:bidi w:val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the strategic goal: expanding economic development for the university in a way that satisfies the needs of continuous development for the local environment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911"/>
              <w:gridCol w:w="2911"/>
              <w:gridCol w:w="2911"/>
              <w:gridCol w:w="2911"/>
              <w:gridCol w:w="2911"/>
            </w:tblGrid>
            <w:tr w:rsidR="007532E8"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32E8" w:rsidRPr="009616C9" w:rsidRDefault="007532E8">
                  <w:pPr>
                    <w:bidi w:val="0"/>
                    <w:rPr>
                      <w:b/>
                      <w:bCs/>
                      <w:color w:val="auto"/>
                    </w:rPr>
                  </w:pPr>
                  <w:r w:rsidRPr="009616C9">
                    <w:rPr>
                      <w:b/>
                      <w:bCs/>
                      <w:color w:val="auto"/>
                    </w:rPr>
                    <w:t>Goals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Pr="009616C9" w:rsidRDefault="007532E8">
                  <w:pPr>
                    <w:bidi w:val="0"/>
                    <w:rPr>
                      <w:b/>
                      <w:bCs/>
                      <w:color w:val="auto"/>
                    </w:rPr>
                  </w:pPr>
                  <w:r w:rsidRPr="009616C9">
                    <w:rPr>
                      <w:b/>
                      <w:bCs/>
                      <w:color w:val="auto"/>
                    </w:rPr>
                    <w:t xml:space="preserve">Measurements and indicators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Pr="009616C9" w:rsidRDefault="007532E8">
                  <w:pPr>
                    <w:bidi w:val="0"/>
                    <w:rPr>
                      <w:b/>
                      <w:bCs/>
                      <w:color w:val="auto"/>
                    </w:rPr>
                  </w:pPr>
                  <w:r w:rsidRPr="009616C9">
                    <w:rPr>
                      <w:b/>
                      <w:bCs/>
                      <w:color w:val="auto"/>
                    </w:rPr>
                    <w:t xml:space="preserve">targets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Pr="009616C9" w:rsidRDefault="007532E8">
                  <w:pPr>
                    <w:bidi w:val="0"/>
                    <w:rPr>
                      <w:b/>
                      <w:bCs/>
                      <w:color w:val="auto"/>
                    </w:rPr>
                  </w:pPr>
                  <w:r w:rsidRPr="009616C9">
                    <w:rPr>
                      <w:b/>
                      <w:bCs/>
                      <w:color w:val="auto"/>
                    </w:rPr>
                    <w:t xml:space="preserve">initiatives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Pr="009616C9" w:rsidRDefault="007532E8">
                  <w:pPr>
                    <w:bidi w:val="0"/>
                    <w:rPr>
                      <w:b/>
                      <w:bCs/>
                      <w:color w:val="auto"/>
                    </w:rPr>
                  </w:pPr>
                  <w:r w:rsidRPr="009616C9">
                    <w:rPr>
                      <w:b/>
                      <w:bCs/>
                      <w:color w:val="auto"/>
                    </w:rPr>
                    <w:t xml:space="preserve">responsible authority </w:t>
                  </w:r>
                </w:p>
              </w:tc>
            </w:tr>
            <w:tr w:rsidR="00082A27"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82A27" w:rsidRDefault="00082A27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(1) developing the financial </w:t>
                  </w:r>
                  <w:r w:rsidR="007532E8">
                    <w:rPr>
                      <w:color w:val="auto"/>
                    </w:rPr>
                    <w:t xml:space="preserve">revenues for faculties and deanships in the approved yearly </w:t>
                  </w:r>
                  <w:r w:rsidR="007532E8">
                    <w:rPr>
                      <w:color w:val="auto"/>
                    </w:rPr>
                    <w:lastRenderedPageBreak/>
                    <w:t xml:space="preserve">budget 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A27" w:rsidRDefault="00A72B77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-</w:t>
                  </w:r>
                  <w:r w:rsidR="009F20D1">
                    <w:rPr>
                      <w:color w:val="auto"/>
                    </w:rPr>
                    <w:t xml:space="preserve">the number of participations of businessmen and </w:t>
                  </w:r>
                  <w:r>
                    <w:rPr>
                      <w:color w:val="auto"/>
                    </w:rPr>
                    <w:t xml:space="preserve">other sectors in the university </w:t>
                  </w:r>
                  <w:r>
                    <w:rPr>
                      <w:color w:val="auto"/>
                    </w:rPr>
                    <w:lastRenderedPageBreak/>
                    <w:t xml:space="preserve">programs </w:t>
                  </w:r>
                </w:p>
                <w:p w:rsidR="00A72B77" w:rsidRDefault="00A72B77" w:rsidP="001235B4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</w:t>
                  </w:r>
                  <w:r w:rsidR="001235B4">
                    <w:rPr>
                      <w:color w:val="auto"/>
                    </w:rPr>
                    <w:t>percentage of</w:t>
                  </w:r>
                  <w:r w:rsidR="00B8420B">
                    <w:rPr>
                      <w:color w:val="auto"/>
                    </w:rPr>
                    <w:t xml:space="preserve"> the financial allocations</w:t>
                  </w:r>
                  <w:r w:rsidR="001235B4">
                    <w:rPr>
                      <w:color w:val="auto"/>
                    </w:rPr>
                    <w:t xml:space="preserve"> increase</w:t>
                  </w:r>
                  <w:r w:rsidR="00B8420B">
                    <w:rPr>
                      <w:color w:val="auto"/>
                    </w:rPr>
                    <w:t xml:space="preserve"> and the budget in the facult</w:t>
                  </w:r>
                  <w:r w:rsidR="001235B4">
                    <w:rPr>
                      <w:color w:val="auto"/>
                    </w:rPr>
                    <w:t xml:space="preserve">ies </w:t>
                  </w:r>
                </w:p>
                <w:p w:rsidR="001235B4" w:rsidRDefault="001235B4" w:rsidP="001235B4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-the number of research chairs </w:t>
                  </w:r>
                </w:p>
                <w:p w:rsidR="001235B4" w:rsidRDefault="001235B4" w:rsidP="001235B4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-the number of research and excellence centers that are supported from outside the faculty </w:t>
                  </w:r>
                </w:p>
                <w:p w:rsidR="00F02ED2" w:rsidRDefault="00F02ED2" w:rsidP="00F02ED2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-the number of courses presented to the local community</w:t>
                  </w:r>
                  <w:r w:rsidR="00B77003">
                    <w:rPr>
                      <w:color w:val="auto"/>
                    </w:rPr>
                    <w:t xml:space="preserve"> and its institutions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A27" w:rsidRDefault="00E94490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 xml:space="preserve">achieving 20% of the approved yearly budget for the faculty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A27" w:rsidRDefault="00011DBD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-doing courses on modern methods </w:t>
                  </w:r>
                  <w:r w:rsidR="001E44F5">
                    <w:rPr>
                      <w:color w:val="auto"/>
                    </w:rPr>
                    <w:t xml:space="preserve">in research and communication with private establishments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82A27" w:rsidRDefault="00B8420B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deanship of libraries affairs</w:t>
                  </w:r>
                </w:p>
              </w:tc>
            </w:tr>
            <w:tr w:rsidR="007532E8"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Default="00A72B77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 xml:space="preserve">(2) developing financial plans and budgets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Default="002539C3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-the number of financial plans and approved budgets </w:t>
                  </w:r>
                </w:p>
                <w:p w:rsidR="00FB70B9" w:rsidRDefault="002539C3" w:rsidP="002539C3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</w:t>
                  </w:r>
                  <w:r w:rsidR="007E2ACF">
                    <w:rPr>
                      <w:color w:val="auto"/>
                    </w:rPr>
                    <w:t>the growth of financial resources that are spent on research and scientific services and activities throughout the academic year prior to the plan</w:t>
                  </w:r>
                </w:p>
                <w:p w:rsidR="00FB70B9" w:rsidRDefault="00FB70B9" w:rsidP="00FB70B9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-the number of workshops and seminars on financial plans and budgets </w:t>
                  </w:r>
                </w:p>
                <w:p w:rsidR="002539C3" w:rsidRDefault="00FB70B9" w:rsidP="00FB70B9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</w:t>
                  </w:r>
                  <w:r w:rsidR="007E2AC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Default="00E94490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financial plan for every faculty and deanship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Default="00C97C48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</w:t>
                  </w:r>
                  <w:r w:rsidR="00AF5FE6">
                    <w:rPr>
                      <w:color w:val="auto"/>
                    </w:rPr>
                    <w:t>Holding workshops in the deanship for dis</w:t>
                  </w:r>
                  <w:r>
                    <w:rPr>
                      <w:color w:val="auto"/>
                    </w:rPr>
                    <w:t xml:space="preserve">cussing the financial needs and budgets </w:t>
                  </w:r>
                </w:p>
                <w:p w:rsidR="00C97C48" w:rsidRDefault="00C97C48" w:rsidP="00C97C48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-Preparing a yearly budget and integrating all administrative units in </w:t>
                  </w:r>
                  <w:r w:rsidR="006443F7">
                    <w:rPr>
                      <w:color w:val="auto"/>
                    </w:rPr>
                    <w:t xml:space="preserve">budget planning </w:t>
                  </w:r>
                </w:p>
                <w:p w:rsidR="006443F7" w:rsidRDefault="006443F7" w:rsidP="006443F7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-studying budgets of future projects in the deanship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32E8" w:rsidRDefault="00B8420B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deanship of libraries affairs deanship of libraries affairs deanship of libraries affairs deanship of libraries affairs</w:t>
                  </w:r>
                </w:p>
              </w:tc>
            </w:tr>
            <w:tr w:rsidR="00A72B77"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2B77" w:rsidRDefault="00A72B77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(3) enhancing percentage of expenses </w:t>
                  </w:r>
                  <w:r w:rsidR="00926DE8">
                    <w:rPr>
                      <w:color w:val="auto"/>
                    </w:rPr>
                    <w:t xml:space="preserve">with specifying priorities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2B77" w:rsidRDefault="006B0212" w:rsidP="006B0212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-the average of total expenses of the university budgets on academic and administrative units in the university</w:t>
                  </w:r>
                </w:p>
                <w:p w:rsidR="006B0212" w:rsidRDefault="006B0212" w:rsidP="006B0212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-percentage of departments expenses regarding the total </w:t>
                  </w:r>
                  <w:r>
                    <w:rPr>
                      <w:color w:val="auto"/>
                    </w:rPr>
                    <w:lastRenderedPageBreak/>
                    <w:t xml:space="preserve">budget of faculties and deanships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2B77" w:rsidRDefault="00E94490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 xml:space="preserve">yearly detailed report </w:t>
                  </w:r>
                  <w:r w:rsidR="00A02C07">
                    <w:rPr>
                      <w:color w:val="auto"/>
                    </w:rPr>
                    <w:t xml:space="preserve">on </w:t>
                  </w:r>
                  <w:r w:rsidR="008F0A95">
                    <w:rPr>
                      <w:color w:val="auto"/>
                    </w:rPr>
                    <w:t xml:space="preserve">the financial expenses in faculties and deanships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43F7" w:rsidRDefault="006443F7" w:rsidP="006443F7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-designing a financial plan for expenses in the deanship based on of defining priorities  </w:t>
                  </w:r>
                </w:p>
                <w:p w:rsidR="00A72B77" w:rsidRDefault="006443F7" w:rsidP="006443F7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-defining the financial needs for the deanship </w:t>
                  </w:r>
                </w:p>
                <w:p w:rsidR="006443F7" w:rsidRDefault="006443F7" w:rsidP="006443F7">
                  <w:pPr>
                    <w:bidi w:val="0"/>
                    <w:rPr>
                      <w:color w:val="auto"/>
                    </w:rPr>
                  </w:pP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2B77" w:rsidRDefault="00B8420B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deanship of libraries affairs deanship of libraries affairs</w:t>
                  </w:r>
                </w:p>
              </w:tc>
            </w:tr>
            <w:tr w:rsidR="00926DE8"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DE8" w:rsidRDefault="00926DE8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(4) completing all regulations and laws needed for receiving the financial resources for faculties and deanships, and making them available for all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DE8" w:rsidRDefault="0012348B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-percentage of completed regulations </w:t>
                  </w:r>
                </w:p>
                <w:p w:rsidR="0012348B" w:rsidRDefault="0012348B" w:rsidP="0012348B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-the amount of financial resources for the faculty in exchange for the services the faculty provides </w:t>
                  </w:r>
                </w:p>
                <w:p w:rsidR="00D8753E" w:rsidRDefault="00D8753E" w:rsidP="00D8753E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-the regulations list for mechanisms of receiving the financial resources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DE8" w:rsidRDefault="008F0A95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achieving 100%</w:t>
                  </w:r>
                  <w:r w:rsidR="00123423">
                    <w:rPr>
                      <w:color w:val="auto"/>
                    </w:rPr>
                    <w:t>of the regulations and laws pertaining to mechanis</w:t>
                  </w:r>
                  <w:r w:rsidR="000C7048">
                    <w:rPr>
                      <w:color w:val="auto"/>
                    </w:rPr>
                    <w:t xml:space="preserve">ms of receiving financial revenues at the end of </w:t>
                  </w:r>
                  <w:r w:rsidR="00011DBD">
                    <w:rPr>
                      <w:color w:val="auto"/>
                    </w:rPr>
                    <w:t>the plan</w:t>
                  </w:r>
                  <w:r w:rsidR="000C7048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DE8" w:rsidRDefault="00B8420B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establishing a committee for making regulations for the deanship</w:t>
                  </w:r>
                </w:p>
              </w:tc>
              <w:tc>
                <w:tcPr>
                  <w:tcW w:w="29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26DE8" w:rsidRDefault="00B8420B">
                  <w:pPr>
                    <w:bidi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deanship of libraries affairs deanship of libraries affairs deanship of libraries affairs</w:t>
                  </w:r>
                </w:p>
              </w:tc>
            </w:tr>
          </w:tbl>
          <w:p w:rsidR="00082A27" w:rsidRDefault="00082A27">
            <w:pPr>
              <w:bidi w:val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:rsidR="00082A27" w:rsidRDefault="00082A27" w:rsidP="00082A27">
      <w:pPr>
        <w:bidi w:val="0"/>
        <w:rPr>
          <w:color w:val="auto"/>
        </w:rPr>
      </w:pPr>
    </w:p>
    <w:p w:rsidR="003C6D61" w:rsidRPr="00681FFC" w:rsidRDefault="003C6D61" w:rsidP="00761737"/>
    <w:sectPr w:rsidR="003C6D61" w:rsidRPr="00681FFC" w:rsidSect="00B67D6D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pgNumType w:start="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564" w:rsidRDefault="001C4564" w:rsidP="002F6ABD">
      <w:r>
        <w:separator/>
      </w:r>
    </w:p>
  </w:endnote>
  <w:endnote w:type="continuationSeparator" w:id="0">
    <w:p w:rsidR="001C4564" w:rsidRDefault="001C4564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FE2AD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FE2ADC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9616C9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8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564" w:rsidRDefault="001C4564" w:rsidP="002F6ABD">
      <w:r>
        <w:separator/>
      </w:r>
    </w:p>
  </w:footnote>
  <w:footnote w:type="continuationSeparator" w:id="0">
    <w:p w:rsidR="001C4564" w:rsidRDefault="001C4564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FE2AD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B67D6D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B67D6D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>شؤؤن المكتبات</w:t>
                </w:r>
                <w:r w:rsidRPr="00995AA4">
                  <w:rPr>
                    <w:rFonts w:cs="AL-Mohanad Bold" w:hint="cs"/>
                    <w:color w:val="auto"/>
                    <w:sz w:val="18"/>
                    <w:szCs w:val="18"/>
                    <w:rtl/>
                    <w:lang w:bidi="ar-EG"/>
                  </w:rPr>
                  <w:t xml:space="preserve"> </w:t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                                                البعد </w:t>
                </w:r>
                <w:r w:rsidR="00681FFC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الرابع</w:t>
                </w:r>
                <w:r w:rsidR="001D2407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: </w:t>
                </w:r>
                <w:r w:rsidR="00681FFC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المالي والاقتصادي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4A"/>
    <w:multiLevelType w:val="hybridMultilevel"/>
    <w:tmpl w:val="273C776A"/>
    <w:lvl w:ilvl="0" w:tplc="5434DFE4">
      <w:start w:val="4"/>
      <w:numFmt w:val="bullet"/>
      <w:lvlText w:val="-"/>
      <w:lvlJc w:val="left"/>
      <w:pPr>
        <w:ind w:left="763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E54BB"/>
    <w:multiLevelType w:val="hybridMultilevel"/>
    <w:tmpl w:val="23C212C2"/>
    <w:lvl w:ilvl="0" w:tplc="8932A8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2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6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1547275"/>
    <w:multiLevelType w:val="multilevel"/>
    <w:tmpl w:val="7296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871A0"/>
    <w:multiLevelType w:val="hybridMultilevel"/>
    <w:tmpl w:val="88D6FCBA"/>
    <w:lvl w:ilvl="0" w:tplc="5434DFE4">
      <w:start w:val="4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B1592"/>
    <w:multiLevelType w:val="hybridMultilevel"/>
    <w:tmpl w:val="8DB85EF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1"/>
  </w:num>
  <w:num w:numId="4">
    <w:abstractNumId w:val="11"/>
  </w:num>
  <w:num w:numId="5">
    <w:abstractNumId w:val="1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6"/>
  </w:num>
  <w:num w:numId="10">
    <w:abstractNumId w:val="16"/>
  </w:num>
  <w:num w:numId="11">
    <w:abstractNumId w:val="22"/>
  </w:num>
  <w:num w:numId="12">
    <w:abstractNumId w:val="1"/>
  </w:num>
  <w:num w:numId="13">
    <w:abstractNumId w:val="2"/>
  </w:num>
  <w:num w:numId="14">
    <w:abstractNumId w:val="29"/>
  </w:num>
  <w:num w:numId="15">
    <w:abstractNumId w:val="1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14"/>
  </w:num>
  <w:num w:numId="21">
    <w:abstractNumId w:val="8"/>
  </w:num>
  <w:num w:numId="22">
    <w:abstractNumId w:val="20"/>
  </w:num>
  <w:num w:numId="23">
    <w:abstractNumId w:val="24"/>
  </w:num>
  <w:num w:numId="24">
    <w:abstractNumId w:val="32"/>
  </w:num>
  <w:num w:numId="25">
    <w:abstractNumId w:val="34"/>
  </w:num>
  <w:num w:numId="26">
    <w:abstractNumId w:val="36"/>
  </w:num>
  <w:num w:numId="27">
    <w:abstractNumId w:val="13"/>
  </w:num>
  <w:num w:numId="28">
    <w:abstractNumId w:val="3"/>
  </w:num>
  <w:num w:numId="29">
    <w:abstractNumId w:val="5"/>
  </w:num>
  <w:num w:numId="30">
    <w:abstractNumId w:val="9"/>
  </w:num>
  <w:num w:numId="31">
    <w:abstractNumId w:val="27"/>
  </w:num>
  <w:num w:numId="32">
    <w:abstractNumId w:val="6"/>
  </w:num>
  <w:num w:numId="33">
    <w:abstractNumId w:val="7"/>
  </w:num>
  <w:num w:numId="34">
    <w:abstractNumId w:val="33"/>
  </w:num>
  <w:num w:numId="35">
    <w:abstractNumId w:val="35"/>
  </w:num>
  <w:num w:numId="36">
    <w:abstractNumId w:val="0"/>
  </w:num>
  <w:num w:numId="37">
    <w:abstractNumId w:val="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7890">
      <o:colormenu v:ext="edit" fillcolor="none" strokecolor="none"/>
    </o:shapedefaults>
    <o:shapelayout v:ext="edit">
      <o:idmap v:ext="edit" data="2"/>
      <o:rules v:ext="edit">
        <o:r id="V:Rule4" type="connector" idref="#_x0000_s2052"/>
        <o:r id="V:Rule5" type="connector" idref="#_x0000_s2050"/>
        <o:r id="V:Rule6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F6ABD"/>
    <w:rsid w:val="00011DBD"/>
    <w:rsid w:val="000229B4"/>
    <w:rsid w:val="000779D0"/>
    <w:rsid w:val="00082A27"/>
    <w:rsid w:val="000A728D"/>
    <w:rsid w:val="000C10AD"/>
    <w:rsid w:val="000C7048"/>
    <w:rsid w:val="000E53D0"/>
    <w:rsid w:val="00115A14"/>
    <w:rsid w:val="00123423"/>
    <w:rsid w:val="0012348B"/>
    <w:rsid w:val="001235B4"/>
    <w:rsid w:val="001C4564"/>
    <w:rsid w:val="001D2407"/>
    <w:rsid w:val="001E44F5"/>
    <w:rsid w:val="00201D2A"/>
    <w:rsid w:val="002454EA"/>
    <w:rsid w:val="002539C3"/>
    <w:rsid w:val="002879EC"/>
    <w:rsid w:val="002909FD"/>
    <w:rsid w:val="002F6ABD"/>
    <w:rsid w:val="00334632"/>
    <w:rsid w:val="003842FB"/>
    <w:rsid w:val="003A1BA9"/>
    <w:rsid w:val="003B1747"/>
    <w:rsid w:val="003C6D61"/>
    <w:rsid w:val="004A0B25"/>
    <w:rsid w:val="004A4C80"/>
    <w:rsid w:val="005218C5"/>
    <w:rsid w:val="0053557D"/>
    <w:rsid w:val="00576DC7"/>
    <w:rsid w:val="00593D52"/>
    <w:rsid w:val="005E1F5D"/>
    <w:rsid w:val="00614A13"/>
    <w:rsid w:val="006443F7"/>
    <w:rsid w:val="006564AF"/>
    <w:rsid w:val="00664635"/>
    <w:rsid w:val="00672FE6"/>
    <w:rsid w:val="00681FFC"/>
    <w:rsid w:val="0068687D"/>
    <w:rsid w:val="006B0212"/>
    <w:rsid w:val="006C58B5"/>
    <w:rsid w:val="006F4EDA"/>
    <w:rsid w:val="007051DC"/>
    <w:rsid w:val="007532E8"/>
    <w:rsid w:val="00756CF6"/>
    <w:rsid w:val="00760E4C"/>
    <w:rsid w:val="00761737"/>
    <w:rsid w:val="007825CA"/>
    <w:rsid w:val="007E2ACF"/>
    <w:rsid w:val="007E7BC4"/>
    <w:rsid w:val="00821C97"/>
    <w:rsid w:val="0082429F"/>
    <w:rsid w:val="00824A55"/>
    <w:rsid w:val="00891151"/>
    <w:rsid w:val="008A1DD4"/>
    <w:rsid w:val="008A2913"/>
    <w:rsid w:val="008B2D56"/>
    <w:rsid w:val="008F0A95"/>
    <w:rsid w:val="008F655C"/>
    <w:rsid w:val="00903646"/>
    <w:rsid w:val="00926DE8"/>
    <w:rsid w:val="009616C9"/>
    <w:rsid w:val="00995AA4"/>
    <w:rsid w:val="009A0B78"/>
    <w:rsid w:val="009A5860"/>
    <w:rsid w:val="009E5129"/>
    <w:rsid w:val="009F03D5"/>
    <w:rsid w:val="009F20D1"/>
    <w:rsid w:val="00A02C07"/>
    <w:rsid w:val="00A146B3"/>
    <w:rsid w:val="00A72B77"/>
    <w:rsid w:val="00AA07BA"/>
    <w:rsid w:val="00AC1959"/>
    <w:rsid w:val="00AC55BF"/>
    <w:rsid w:val="00AF5FE6"/>
    <w:rsid w:val="00B00693"/>
    <w:rsid w:val="00B423F0"/>
    <w:rsid w:val="00B67D6D"/>
    <w:rsid w:val="00B77003"/>
    <w:rsid w:val="00B8420B"/>
    <w:rsid w:val="00BF70E6"/>
    <w:rsid w:val="00C127BC"/>
    <w:rsid w:val="00C35D5C"/>
    <w:rsid w:val="00C414BE"/>
    <w:rsid w:val="00C97C48"/>
    <w:rsid w:val="00CF1119"/>
    <w:rsid w:val="00D014B5"/>
    <w:rsid w:val="00D14D5E"/>
    <w:rsid w:val="00D339B0"/>
    <w:rsid w:val="00D36C2D"/>
    <w:rsid w:val="00D8753E"/>
    <w:rsid w:val="00DB3BEB"/>
    <w:rsid w:val="00DB4A52"/>
    <w:rsid w:val="00E117BF"/>
    <w:rsid w:val="00E1621C"/>
    <w:rsid w:val="00E61DBE"/>
    <w:rsid w:val="00E94490"/>
    <w:rsid w:val="00ED6E3B"/>
    <w:rsid w:val="00F02ED2"/>
    <w:rsid w:val="00F35C87"/>
    <w:rsid w:val="00F412D1"/>
    <w:rsid w:val="00F61B58"/>
    <w:rsid w:val="00FB70B9"/>
    <w:rsid w:val="00FC394A"/>
    <w:rsid w:val="00FC7D7F"/>
    <w:rsid w:val="00FE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Mohammad</cp:lastModifiedBy>
  <cp:revision>30</cp:revision>
  <dcterms:created xsi:type="dcterms:W3CDTF">2011-11-29T18:14:00Z</dcterms:created>
  <dcterms:modified xsi:type="dcterms:W3CDTF">2012-12-03T14:03:00Z</dcterms:modified>
</cp:coreProperties>
</file>