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69" w:rsidRDefault="0071409D" w:rsidP="0071409D">
      <w:pPr>
        <w:bidi/>
        <w:jc w:val="center"/>
        <w:rPr>
          <w:rFonts w:cs="Arial"/>
          <w:rtl/>
        </w:rPr>
      </w:pPr>
      <w:r w:rsidRPr="0071409D">
        <w:rPr>
          <w:rFonts w:cs="Arial" w:hint="cs"/>
          <w:b/>
          <w:bCs/>
          <w:sz w:val="32"/>
          <w:szCs w:val="32"/>
          <w:rtl/>
        </w:rPr>
        <w:t>من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أجل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تعليم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جامعي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مطابق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لمعايير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الجودة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والاعتماد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الأكاديمي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كلية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إدارة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الأعمال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تقيم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ورشة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عمل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بعنوان</w:t>
      </w:r>
      <w:r w:rsidRPr="0071409D">
        <w:rPr>
          <w:rFonts w:cs="Arial"/>
          <w:b/>
          <w:bCs/>
          <w:sz w:val="32"/>
          <w:szCs w:val="32"/>
          <w:rtl/>
        </w:rPr>
        <w:t xml:space="preserve"> " </w:t>
      </w:r>
      <w:r w:rsidRPr="0071409D">
        <w:rPr>
          <w:rFonts w:cs="Arial" w:hint="cs"/>
          <w:b/>
          <w:bCs/>
          <w:sz w:val="32"/>
          <w:szCs w:val="32"/>
          <w:rtl/>
        </w:rPr>
        <w:t>توصيف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المقرر</w:t>
      </w:r>
      <w:r w:rsidRPr="0071409D">
        <w:rPr>
          <w:rFonts w:cs="Arial"/>
          <w:b/>
          <w:bCs/>
          <w:sz w:val="32"/>
          <w:szCs w:val="32"/>
          <w:rtl/>
        </w:rPr>
        <w:t xml:space="preserve">" </w:t>
      </w:r>
      <w:r w:rsidRPr="0071409D">
        <w:rPr>
          <w:rFonts w:cs="Arial" w:hint="cs"/>
          <w:b/>
          <w:bCs/>
          <w:sz w:val="32"/>
          <w:szCs w:val="32"/>
          <w:rtl/>
        </w:rPr>
        <w:t>من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الإعداد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إلى</w:t>
      </w:r>
      <w:r w:rsidRPr="0071409D">
        <w:rPr>
          <w:rFonts w:cs="Arial"/>
          <w:b/>
          <w:bCs/>
          <w:sz w:val="32"/>
          <w:szCs w:val="32"/>
          <w:rtl/>
        </w:rPr>
        <w:t xml:space="preserve"> </w:t>
      </w:r>
      <w:r w:rsidRPr="0071409D">
        <w:rPr>
          <w:rFonts w:cs="Arial" w:hint="cs"/>
          <w:b/>
          <w:bCs/>
          <w:sz w:val="32"/>
          <w:szCs w:val="32"/>
          <w:rtl/>
        </w:rPr>
        <w:t>التطوير</w:t>
      </w:r>
      <w:r>
        <w:rPr>
          <w:rFonts w:cs="Arial"/>
          <w:b/>
          <w:bCs/>
          <w:sz w:val="32"/>
          <w:szCs w:val="32"/>
          <w:rtl/>
        </w:rPr>
        <w:t>"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إطار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سعي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إدارة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الأعمال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للقيام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بدورها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نشر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ثقافة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منسوبي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البرامج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الأكاديمية،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نظمت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إدارة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الأعمال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ممثلة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وكالة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بحضور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سعادة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عميد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الدكتور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سعد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محمد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proofErr w:type="spellStart"/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الفليِّح</w:t>
      </w:r>
      <w:proofErr w:type="spellEnd"/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ووكيل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الدكتور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أحمد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محمد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الشمري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ووكيل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للشؤون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التعليمية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الاستاذ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جبر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احمد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الجبر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بعنوان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"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وفقاً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لمعايير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الوطنية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للتقويم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والاعتماد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الأكاديمي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/>
          <w:sz w:val="28"/>
          <w:szCs w:val="28"/>
        </w:rPr>
        <w:t>NCAAA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"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الإعداد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" “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يوم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الخميس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الموافق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23/3/1438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هـ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بقاعة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الأعمال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للتدريب،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والتي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قام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بتقديمها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مستشار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المهارات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الدكتور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/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جمال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صميدة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بحضور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ومشاركة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جميع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أعضاء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التدريس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بالكلية،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وتأتي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العمل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استكمالاً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لسلسلة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ورش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العمل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الداعمة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لمهارات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أعضاء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التدريس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استيفاء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أعمال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ووثائق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مستوى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البرامج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الأكاديمية،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وإعداد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للمقررات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الدراسية،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وتقارير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بعد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الانتهاء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تدريسها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بدأت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باستعراض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لأهم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المحاور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سيتم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طرحها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خلال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وكان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أبرزها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: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التوجهات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الحديثة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ضمان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البرنامج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والمقررات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الدراسية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مجالات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نواتج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مصفوفة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نواتج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للبرنامج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ماهية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وفقا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لنموذج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تقويم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/>
          <w:sz w:val="28"/>
          <w:szCs w:val="28"/>
          <w:rtl/>
        </w:rPr>
        <w:t>-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ab/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التقويم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الدوري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للبرنامج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والمقررات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وقد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تقسيم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المتدربين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مجموعات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تدريبية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للتدريب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كيفية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استيفاء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بنود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نموذج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وكيفية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الاستفادة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ارشادات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الوطنية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لاستخدام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نموذج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الدراسي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وقد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أثرى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المتدربين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بالنقاش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الفعال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والمثمر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وكان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محور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النقاش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حول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المشاكل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والصعوبات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تواجه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اعضاء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التدريس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كيفية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استيفاء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النماذج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المعدة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قبل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وكيفية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كتابة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المخرجات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التعليمية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المستهدفة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وكذلك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استراتيجيات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التدريس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المستخدمة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لتحقيق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تلك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المخرجات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71409D" w:rsidRPr="0071409D" w:rsidRDefault="0071409D" w:rsidP="0071409D">
      <w:pPr>
        <w:pStyle w:val="a3"/>
        <w:shd w:val="clear" w:color="auto" w:fill="FFFFFF"/>
        <w:bidi/>
        <w:spacing w:after="0"/>
        <w:jc w:val="both"/>
        <w:rPr>
          <w:rFonts w:asciiTheme="minorHAnsi" w:eastAsiaTheme="minorHAnsi" w:hAnsiTheme="minorHAnsi"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نهاية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تقدم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سعادة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عميد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بكلمة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استعرض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بعض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مزايا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البرنامج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الدراسي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حيث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إنه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مصدر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معلومات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للطلاب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الملتحقين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بالبرنامج،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أو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المحتمل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التحاقهم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بالبرنامج،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أو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كوسيلة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للتعرف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البرنامج،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كما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انه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يعدُ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مصدراً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لمعلومات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لأعضاء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هيئة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التدريس،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وأرباب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lastRenderedPageBreak/>
        <w:t>العمل،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والمراجعين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الخارجيين،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والداخليين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.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كما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أشار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سعادته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إلى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توصيف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الدراسي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يسهم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بشكل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كبير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التخطيط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الفعّال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لتحسين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المقرر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في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ضوء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المستجدات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الحديثة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المستويين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الإقليمي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والدولي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</w:p>
    <w:p w:rsidR="00507ECD" w:rsidRPr="00425771" w:rsidRDefault="0071409D" w:rsidP="0071409D">
      <w:pPr>
        <w:pStyle w:val="a3"/>
        <w:shd w:val="clear" w:color="auto" w:fill="FFFFFF"/>
        <w:bidi/>
        <w:spacing w:after="0"/>
        <w:jc w:val="both"/>
        <w:rPr>
          <w:rFonts w:cs="Arial"/>
          <w:sz w:val="28"/>
          <w:szCs w:val="28"/>
        </w:rPr>
      </w:pP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بعدها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تقدّم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بالشكر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لسعادة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عميد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وتطوير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المهارات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الدكتور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محمد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صالح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العبودي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ولمستشار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عمادة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الدكتور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جمال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صميدة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هذه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الورشة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اهتمامهم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ومتابعتهم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المستمرة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والتي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تؤكد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أواصر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التعاون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المشترك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بين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وعمادة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الجودة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وتقديمهم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الدعم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اللازم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لحصول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برامج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الكلية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على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الاعتماد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 xml:space="preserve"> </w:t>
      </w:r>
      <w:r w:rsidRPr="0071409D">
        <w:rPr>
          <w:rFonts w:asciiTheme="minorHAnsi" w:eastAsiaTheme="minorHAnsi" w:hAnsiTheme="minorHAnsi" w:cs="Arial" w:hint="cs"/>
          <w:sz w:val="28"/>
          <w:szCs w:val="28"/>
          <w:rtl/>
        </w:rPr>
        <w:t>الأكاديمي</w:t>
      </w:r>
      <w:r w:rsidRPr="0071409D">
        <w:rPr>
          <w:rFonts w:asciiTheme="minorHAnsi" w:eastAsiaTheme="minorHAnsi" w:hAnsiTheme="minorHAnsi" w:cs="Arial"/>
          <w:sz w:val="28"/>
          <w:szCs w:val="28"/>
          <w:rtl/>
        </w:rPr>
        <w:t>.</w:t>
      </w:r>
      <w:bookmarkStart w:id="0" w:name="_GoBack"/>
      <w:bookmarkEnd w:id="0"/>
    </w:p>
    <w:p w:rsidR="00507ECD" w:rsidRDefault="00507ECD" w:rsidP="00507ECD">
      <w:pPr>
        <w:bidi/>
      </w:pPr>
    </w:p>
    <w:sectPr w:rsidR="00507E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757"/>
    <w:multiLevelType w:val="hybridMultilevel"/>
    <w:tmpl w:val="D37E20BC"/>
    <w:lvl w:ilvl="0" w:tplc="59848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3D"/>
    <w:rsid w:val="00036450"/>
    <w:rsid w:val="002A573D"/>
    <w:rsid w:val="00425771"/>
    <w:rsid w:val="00495EE3"/>
    <w:rsid w:val="00507ECD"/>
    <w:rsid w:val="0071409D"/>
    <w:rsid w:val="00764B56"/>
    <w:rsid w:val="007F370C"/>
    <w:rsid w:val="00A6000E"/>
    <w:rsid w:val="00B76269"/>
    <w:rsid w:val="00F22D74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CF0F62-500F-46FD-9264-4C0439B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8</cp:revision>
  <dcterms:created xsi:type="dcterms:W3CDTF">2016-12-16T19:20:00Z</dcterms:created>
  <dcterms:modified xsi:type="dcterms:W3CDTF">2016-12-23T16:57:00Z</dcterms:modified>
</cp:coreProperties>
</file>