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E6" w:rsidRPr="00762F49" w:rsidRDefault="00B118E6" w:rsidP="00F846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  <w:u w:val="single"/>
          <w:rtl/>
        </w:rPr>
      </w:pPr>
      <w:r w:rsidRPr="00B118E6">
        <w:rPr>
          <w:rFonts w:ascii="Arial" w:eastAsia="Times New Roman" w:hAnsi="Arial" w:cs="Arial"/>
          <w:color w:val="222222"/>
          <w:sz w:val="24"/>
          <w:szCs w:val="24"/>
        </w:rPr>
        <w:br/>
      </w:r>
      <w:bookmarkStart w:id="0" w:name="_GoBack"/>
      <w:r w:rsidRPr="00762F49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rtl/>
        </w:rPr>
        <w:t>ورشة عمل عن الاعتماد الأكاديمي</w:t>
      </w:r>
      <w:r w:rsidRPr="00762F49">
        <w:rPr>
          <w:rFonts w:ascii="Arial" w:eastAsia="Times New Roman" w:hAnsi="Arial" w:cs="Arial" w:hint="cs"/>
          <w:b/>
          <w:bCs/>
          <w:color w:val="FF0000"/>
          <w:sz w:val="32"/>
          <w:szCs w:val="32"/>
          <w:u w:val="single"/>
          <w:rtl/>
        </w:rPr>
        <w:t xml:space="preserve"> (</w:t>
      </w:r>
      <w:r w:rsidR="00F84639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</w:rPr>
        <w:t>AACSB</w:t>
      </w:r>
      <w:r w:rsidRPr="00762F49">
        <w:rPr>
          <w:rFonts w:ascii="Arial" w:eastAsia="Times New Roman" w:hAnsi="Arial" w:cs="Arial" w:hint="cs"/>
          <w:b/>
          <w:bCs/>
          <w:color w:val="FF0000"/>
          <w:sz w:val="32"/>
          <w:szCs w:val="32"/>
          <w:u w:val="single"/>
          <w:rtl/>
        </w:rPr>
        <w:t xml:space="preserve">) من هيئة الإعتماد الأمريكية لقسم </w:t>
      </w:r>
      <w:r w:rsidR="00F84639">
        <w:rPr>
          <w:rFonts w:ascii="Arial" w:eastAsia="Times New Roman" w:hAnsi="Arial" w:cs="Arial" w:hint="cs"/>
          <w:b/>
          <w:bCs/>
          <w:color w:val="FF0000"/>
          <w:sz w:val="32"/>
          <w:szCs w:val="32"/>
          <w:u w:val="single"/>
          <w:rtl/>
        </w:rPr>
        <w:t xml:space="preserve">إدارة الأعمال </w:t>
      </w:r>
      <w:r w:rsidRPr="00762F49">
        <w:rPr>
          <w:rFonts w:ascii="Arial" w:eastAsia="Times New Roman" w:hAnsi="Arial" w:cs="Arial" w:hint="cs"/>
          <w:b/>
          <w:bCs/>
          <w:color w:val="FF0000"/>
          <w:sz w:val="32"/>
          <w:szCs w:val="32"/>
          <w:u w:val="single"/>
          <w:rtl/>
        </w:rPr>
        <w:t>بالكلية</w:t>
      </w:r>
    </w:p>
    <w:p w:rsidR="00B118E6" w:rsidRDefault="00B118E6" w:rsidP="00B118E6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B118E6" w:rsidRDefault="00B118E6" w:rsidP="00B118E6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118E6" w:rsidRPr="00762F49" w:rsidRDefault="00714D3F" w:rsidP="00EA0A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rtl/>
        </w:rPr>
      </w:pPr>
      <w:r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ضمن إهتمامها بضمان </w:t>
      </w:r>
      <w:r w:rsid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>ا</w:t>
      </w:r>
      <w:r w:rsidR="00B118E6"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>لجودة والإعتماد الأكاديمي , أقامت كلية الع</w:t>
      </w:r>
      <w:r w:rsid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>ل</w:t>
      </w:r>
      <w:r w:rsidR="00B118E6"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وم والدراسات الإنسانية بالغاط ممثلة بوحدة الإعتماد الأكاديمي التابعة لوكالة الكلية </w:t>
      </w:r>
      <w:r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>ل</w:t>
      </w:r>
      <w:r w:rsidR="00B118E6"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لتطوير </w:t>
      </w:r>
      <w:r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والجودة </w:t>
      </w:r>
      <w:r w:rsidR="00B118E6"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>ورشة عمل بعنوان " الإعتماد الأكاديمي (</w:t>
      </w:r>
      <w:r w:rsidR="00F84639">
        <w:rPr>
          <w:rFonts w:ascii="Arial" w:eastAsia="Times New Roman" w:hAnsi="Arial" w:cs="Arial"/>
          <w:color w:val="222222"/>
          <w:sz w:val="28"/>
          <w:szCs w:val="28"/>
        </w:rPr>
        <w:t>AACSB</w:t>
      </w:r>
      <w:r w:rsidR="00B118E6"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) من هيئة الإعتماد الأمريكية لقسم </w:t>
      </w:r>
      <w:r w:rsidR="00F84639">
        <w:rPr>
          <w:rFonts w:ascii="Arial" w:eastAsia="Times New Roman" w:hAnsi="Arial" w:cs="Arial" w:hint="cs"/>
          <w:color w:val="222222"/>
          <w:sz w:val="28"/>
          <w:szCs w:val="28"/>
          <w:rtl/>
        </w:rPr>
        <w:t>ادارة الأعمال</w:t>
      </w:r>
      <w:r w:rsidR="00B118E6"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 بالكلية, وا</w:t>
      </w:r>
      <w:r w:rsidR="00604E91"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فتتح الورشة وكيل الكلية للتطوير </w:t>
      </w:r>
      <w:r w:rsidR="00B118E6"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>والجودة</w:t>
      </w:r>
      <w:r w:rsidR="00F066AC"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 </w:t>
      </w:r>
      <w:r w:rsidR="00B118E6"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 </w:t>
      </w:r>
      <w:r w:rsidR="00F066AC"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>أ.</w:t>
      </w:r>
      <w:r w:rsidR="00B118E6"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>عادل بن حميدان الشمري بالترحيب بالحضور وبيان</w:t>
      </w:r>
      <w:r w:rsidR="00604E91"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 أهمية الإعتماد الأكاديمي للقسم وكيفية التقدم</w:t>
      </w:r>
      <w:r w:rsidR="00604E91" w:rsidRPr="00762F49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</w:t>
      </w:r>
      <w:r w:rsidR="00604E91"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>للحصول</w:t>
      </w:r>
      <w:r w:rsidR="00604E91" w:rsidRPr="00762F49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</w:t>
      </w:r>
      <w:r w:rsidR="00604E91"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>على</w:t>
      </w:r>
      <w:r w:rsidR="00604E91" w:rsidRPr="00762F49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</w:t>
      </w:r>
      <w:r w:rsidR="00604E91"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>الاعتماد</w:t>
      </w:r>
      <w:r w:rsidR="00604E91" w:rsidRPr="00762F49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</w:t>
      </w:r>
      <w:r w:rsidR="00604E91"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الخارجي , </w:t>
      </w:r>
      <w:r w:rsidR="00B118E6"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>ثم تحدث</w:t>
      </w:r>
      <w:r w:rsidR="00F066AC"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 </w:t>
      </w:r>
      <w:r w:rsidR="00B118E6"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 </w:t>
      </w:r>
      <w:r w:rsidR="00F066AC"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>أ.</w:t>
      </w:r>
      <w:r w:rsidR="00B118E6"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>محمد بن أحمد العيسى</w:t>
      </w:r>
      <w:r w:rsidR="00EA0A31"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 المشرف على وحدة </w:t>
      </w:r>
      <w:r w:rsidR="00EA0A31"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الإعتماد الأكاديمي </w:t>
      </w:r>
      <w:r w:rsidR="00B118E6"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>عن الإعتماد الأكاديمي (</w:t>
      </w:r>
      <w:r w:rsidR="00F84639">
        <w:rPr>
          <w:rFonts w:ascii="Arial" w:eastAsia="Times New Roman" w:hAnsi="Arial" w:cs="Arial"/>
          <w:color w:val="222222"/>
          <w:sz w:val="28"/>
          <w:szCs w:val="28"/>
        </w:rPr>
        <w:t>AACSB</w:t>
      </w:r>
      <w:r w:rsidR="00B118E6"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>)</w:t>
      </w:r>
      <w:r w:rsidR="00B118E6" w:rsidRPr="00762F49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B118E6"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>والذي تناول مايلي :</w:t>
      </w:r>
    </w:p>
    <w:p w:rsidR="00B118E6" w:rsidRPr="00762F49" w:rsidRDefault="00B118E6" w:rsidP="00213C2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>نبذة عن إعتماد (</w:t>
      </w:r>
      <w:r w:rsidR="00F84639">
        <w:rPr>
          <w:rFonts w:ascii="Arial" w:eastAsia="Times New Roman" w:hAnsi="Arial" w:cs="Arial"/>
          <w:color w:val="222222"/>
          <w:sz w:val="28"/>
          <w:szCs w:val="28"/>
        </w:rPr>
        <w:t>AACSB</w:t>
      </w:r>
      <w:r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) لبرامج </w:t>
      </w:r>
      <w:r w:rsidR="00213C28">
        <w:rPr>
          <w:rFonts w:ascii="Arial" w:eastAsia="Times New Roman" w:hAnsi="Arial" w:cs="Arial" w:hint="cs"/>
          <w:color w:val="222222"/>
          <w:sz w:val="28"/>
          <w:szCs w:val="28"/>
          <w:rtl/>
        </w:rPr>
        <w:t>ادارة الأعمال</w:t>
      </w:r>
    </w:p>
    <w:p w:rsidR="00B118E6" w:rsidRPr="00762F49" w:rsidRDefault="00213C28" w:rsidP="00F8463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أمثلة لبعض </w:t>
      </w:r>
      <w:r w:rsidR="00505DC5"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>الكليات الحاصلة على إعتماد (</w:t>
      </w:r>
      <w:r w:rsidR="00F84639">
        <w:rPr>
          <w:rFonts w:ascii="Arial" w:eastAsia="Times New Roman" w:hAnsi="Arial" w:cs="Arial"/>
          <w:color w:val="222222"/>
          <w:sz w:val="28"/>
          <w:szCs w:val="28"/>
        </w:rPr>
        <w:t>AACSB</w:t>
      </w:r>
      <w:r w:rsidR="00505DC5"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>)</w:t>
      </w:r>
    </w:p>
    <w:p w:rsidR="00505DC5" w:rsidRPr="00762F49" w:rsidRDefault="00505DC5" w:rsidP="00505DC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>الفائدة من الحصول على الإعتماد الأكاديمي لطلاب ولأعضاء هيئة التدريس وللقسم</w:t>
      </w:r>
    </w:p>
    <w:p w:rsidR="00505DC5" w:rsidRPr="00762F49" w:rsidRDefault="00505DC5" w:rsidP="00F8463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>المعايير الأساسية لإعتماد (</w:t>
      </w:r>
      <w:r w:rsidR="00F84639">
        <w:rPr>
          <w:rFonts w:ascii="Arial" w:eastAsia="Times New Roman" w:hAnsi="Arial" w:cs="Arial"/>
          <w:color w:val="222222"/>
          <w:sz w:val="28"/>
          <w:szCs w:val="28"/>
        </w:rPr>
        <w:t>AACSB</w:t>
      </w:r>
      <w:r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) لبرامج </w:t>
      </w:r>
      <w:r w:rsidR="00F84639">
        <w:rPr>
          <w:rFonts w:ascii="Arial" w:eastAsia="Times New Roman" w:hAnsi="Arial" w:cs="Arial" w:hint="cs"/>
          <w:color w:val="222222"/>
          <w:sz w:val="28"/>
          <w:szCs w:val="28"/>
          <w:rtl/>
        </w:rPr>
        <w:t>ادارة الأعمال</w:t>
      </w:r>
    </w:p>
    <w:p w:rsidR="00505DC5" w:rsidRPr="00762F49" w:rsidRDefault="00505DC5" w:rsidP="00F8463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rtl/>
        </w:rPr>
      </w:pPr>
      <w:r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>بعض الممارسات للمعايير الأساسية لإعتماد (</w:t>
      </w:r>
      <w:r w:rsidR="00F84639">
        <w:rPr>
          <w:rFonts w:ascii="Arial" w:eastAsia="Times New Roman" w:hAnsi="Arial" w:cs="Arial"/>
          <w:color w:val="222222"/>
          <w:sz w:val="28"/>
          <w:szCs w:val="28"/>
        </w:rPr>
        <w:t>AACSB</w:t>
      </w:r>
      <w:r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>)</w:t>
      </w:r>
    </w:p>
    <w:p w:rsidR="00B118E6" w:rsidRPr="00762F49" w:rsidRDefault="00B118E6" w:rsidP="00B118E6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7F3D36" w:rsidRDefault="00505DC5" w:rsidP="00604E9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وقد عبر سعادة عميد الكلية د. خالد بن عبدالله الشافي عن شكره لوكيل الكلية للتطوير والجودة </w:t>
      </w:r>
      <w:r w:rsidR="00F066AC"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>أ.</w:t>
      </w:r>
      <w:r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عادل بن حميدان الشمري والمشرف على وحدة الإعتماد الأكاديمي </w:t>
      </w:r>
      <w:r w:rsidR="00F066AC"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>أ.</w:t>
      </w:r>
      <w:r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>محمد بن أحمد العيسى على إقامة هذي الورشة والتي هي نموذج لنشر ثقافة الجودة وا</w:t>
      </w:r>
      <w:r w:rsidR="00604E91" w:rsidRPr="00762F49">
        <w:rPr>
          <w:rFonts w:ascii="Arial" w:eastAsia="Times New Roman" w:hAnsi="Arial" w:cs="Arial" w:hint="cs"/>
          <w:color w:val="222222"/>
          <w:sz w:val="28"/>
          <w:szCs w:val="28"/>
          <w:rtl/>
        </w:rPr>
        <w:t>لإعتماد الأكاديمي لأقسام الكلية</w:t>
      </w:r>
      <w:r w:rsidR="00604E91" w:rsidRPr="00762F49">
        <w:rPr>
          <w:rFonts w:ascii="Arial" w:eastAsia="Times New Roman" w:hAnsi="Arial" w:cs="Arial" w:hint="cs"/>
          <w:color w:val="222222"/>
          <w:sz w:val="24"/>
          <w:szCs w:val="24"/>
          <w:rtl/>
        </w:rPr>
        <w:t>.</w:t>
      </w:r>
    </w:p>
    <w:bookmarkEnd w:id="0"/>
    <w:p w:rsidR="00C579B8" w:rsidRDefault="00C579B8" w:rsidP="00C579B8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</w:p>
    <w:p w:rsidR="00C579B8" w:rsidRPr="00762F49" w:rsidRDefault="00C77351" w:rsidP="00C579B8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C77351">
        <w:rPr>
          <w:rFonts w:ascii="Arial" w:eastAsia="Times New Roman" w:hAnsi="Arial" w:cs="Arial"/>
          <w:noProof/>
          <w:color w:val="222222"/>
          <w:sz w:val="24"/>
          <w:szCs w:val="24"/>
        </w:rPr>
        <w:lastRenderedPageBreak/>
        <w:drawing>
          <wp:inline distT="0" distB="0" distL="0" distR="0">
            <wp:extent cx="20316825" cy="15240000"/>
            <wp:effectExtent l="0" t="0" r="9525" b="0"/>
            <wp:docPr id="5" name="Picture 5" descr="D:\ALGHAT2\ghat Portal\News140\IMG_2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LGHAT2\ghat Portal\News140\IMG_29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6825" cy="15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351">
        <w:rPr>
          <w:rFonts w:ascii="Arial" w:eastAsia="Times New Roman" w:hAnsi="Arial" w:cs="Arial"/>
          <w:noProof/>
          <w:color w:val="222222"/>
          <w:sz w:val="24"/>
          <w:szCs w:val="24"/>
        </w:rPr>
        <w:lastRenderedPageBreak/>
        <w:drawing>
          <wp:inline distT="0" distB="0" distL="0" distR="0">
            <wp:extent cx="20316825" cy="15240000"/>
            <wp:effectExtent l="0" t="0" r="9525" b="0"/>
            <wp:docPr id="4" name="Picture 4" descr="D:\ALGHAT2\ghat Portal\News140\IMG_2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LGHAT2\ghat Portal\News140\IMG_29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6825" cy="15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351">
        <w:rPr>
          <w:rFonts w:ascii="Arial" w:eastAsia="Times New Roman" w:hAnsi="Arial" w:cs="Arial"/>
          <w:noProof/>
          <w:color w:val="222222"/>
          <w:sz w:val="24"/>
          <w:szCs w:val="24"/>
        </w:rPr>
        <w:lastRenderedPageBreak/>
        <w:drawing>
          <wp:inline distT="0" distB="0" distL="0" distR="0">
            <wp:extent cx="20316825" cy="15240000"/>
            <wp:effectExtent l="0" t="0" r="9525" b="0"/>
            <wp:docPr id="3" name="Picture 3" descr="D:\ALGHAT2\ghat Portal\News140\IMG_2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2\ghat Portal\News140\IMG_29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6825" cy="15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351">
        <w:rPr>
          <w:rFonts w:ascii="Arial" w:eastAsia="Times New Roman" w:hAnsi="Arial" w:cs="Arial"/>
          <w:noProof/>
          <w:color w:val="222222"/>
          <w:sz w:val="24"/>
          <w:szCs w:val="24"/>
        </w:rPr>
        <w:lastRenderedPageBreak/>
        <w:drawing>
          <wp:inline distT="0" distB="0" distL="0" distR="0">
            <wp:extent cx="15240000" cy="20316825"/>
            <wp:effectExtent l="0" t="0" r="0" b="9525"/>
            <wp:docPr id="2" name="Picture 2" descr="D:\ALGHAT2\ghat Portal\News140\IMG_2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2\ghat Portal\News140\IMG_29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0" cy="2031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351">
        <w:rPr>
          <w:rFonts w:ascii="Arial" w:eastAsia="Times New Roman" w:hAnsi="Arial" w:cs="Arial"/>
          <w:noProof/>
          <w:color w:val="222222"/>
          <w:sz w:val="24"/>
          <w:szCs w:val="24"/>
        </w:rPr>
        <w:lastRenderedPageBreak/>
        <w:drawing>
          <wp:inline distT="0" distB="0" distL="0" distR="0">
            <wp:extent cx="20316825" cy="15240000"/>
            <wp:effectExtent l="0" t="0" r="9525" b="0"/>
            <wp:docPr id="1" name="Picture 1" descr="D:\ALGHAT2\ghat Portal\News140\IMG_2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ghat Portal\News140\IMG_296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6825" cy="15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79B8" w:rsidRPr="00762F49" w:rsidSect="00604E91">
      <w:pgSz w:w="11906" w:h="16838"/>
      <w:pgMar w:top="1440" w:right="1800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41BC5"/>
    <w:multiLevelType w:val="hybridMultilevel"/>
    <w:tmpl w:val="C77675A8"/>
    <w:lvl w:ilvl="0" w:tplc="E26A8B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F2"/>
    <w:rsid w:val="001F36A5"/>
    <w:rsid w:val="00213C28"/>
    <w:rsid w:val="00505DC5"/>
    <w:rsid w:val="00604E91"/>
    <w:rsid w:val="00714D3F"/>
    <w:rsid w:val="00762F49"/>
    <w:rsid w:val="007F3D36"/>
    <w:rsid w:val="00B118E6"/>
    <w:rsid w:val="00C579B8"/>
    <w:rsid w:val="00C770F2"/>
    <w:rsid w:val="00C77351"/>
    <w:rsid w:val="00EA0A31"/>
    <w:rsid w:val="00F066AC"/>
    <w:rsid w:val="00F8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7860DC3-4158-4D0E-B59E-D424613D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8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alrc</cp:lastModifiedBy>
  <cp:revision>2</cp:revision>
  <dcterms:created xsi:type="dcterms:W3CDTF">2016-02-16T21:06:00Z</dcterms:created>
  <dcterms:modified xsi:type="dcterms:W3CDTF">2016-02-16T21:06:00Z</dcterms:modified>
</cp:coreProperties>
</file>