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B1" w:rsidRPr="00236C24" w:rsidRDefault="008E56B1" w:rsidP="008E56B1">
      <w:pPr>
        <w:jc w:val="center"/>
        <w:rPr>
          <w:rFonts w:cs="HeshamNormal"/>
          <w:sz w:val="26"/>
          <w:szCs w:val="26"/>
          <w:rtl/>
        </w:rPr>
      </w:pPr>
      <w:r w:rsidRPr="00236C24">
        <w:rPr>
          <w:rFonts w:cs="HeshamNormal" w:hint="cs"/>
          <w:sz w:val="26"/>
          <w:szCs w:val="26"/>
          <w:rtl/>
        </w:rPr>
        <w:t>تقويم خبرة الطالب</w:t>
      </w:r>
    </w:p>
    <w:p w:rsidR="008E56B1" w:rsidRPr="00236C24" w:rsidRDefault="008E56B1">
      <w:pPr>
        <w:rPr>
          <w:rFonts w:cs="HeshamNormal"/>
          <w:sz w:val="26"/>
          <w:szCs w:val="26"/>
          <w:rtl/>
        </w:rPr>
      </w:pPr>
    </w:p>
    <w:p w:rsidR="008E56B1" w:rsidRPr="00236C24" w:rsidRDefault="008E56B1">
      <w:pPr>
        <w:rPr>
          <w:rFonts w:cs="HeshamNormal"/>
          <w:sz w:val="26"/>
          <w:szCs w:val="26"/>
          <w:rtl/>
        </w:rPr>
      </w:pPr>
    </w:p>
    <w:p w:rsidR="009F5478" w:rsidRPr="00236C24" w:rsidRDefault="009F5478">
      <w:pPr>
        <w:rPr>
          <w:rFonts w:cs="HeshamNormal"/>
          <w:sz w:val="26"/>
          <w:szCs w:val="26"/>
          <w:rtl/>
        </w:rPr>
      </w:pPr>
    </w:p>
    <w:p w:rsidR="009F5478" w:rsidRPr="00236C24" w:rsidRDefault="005C4F28">
      <w:pPr>
        <w:rPr>
          <w:rFonts w:cs="HeshamNormal"/>
          <w:sz w:val="26"/>
          <w:szCs w:val="26"/>
          <w:rtl/>
        </w:rPr>
      </w:pPr>
      <w:r w:rsidRPr="00236C24">
        <w:rPr>
          <w:rFonts w:ascii="Arial" w:hAnsi="Arial" w:cs="HeshamNormal"/>
          <w:noProof/>
          <w:color w:val="000000"/>
          <w:sz w:val="26"/>
          <w:szCs w:val="26"/>
          <w:rtl/>
        </w:rPr>
        <w:drawing>
          <wp:anchor distT="0" distB="0" distL="114300" distR="114300" simplePos="0" relativeHeight="251659264" behindDoc="0" locked="0" layoutInCell="1" allowOverlap="1" wp14:anchorId="7F7739E9" wp14:editId="1BF59AC1">
            <wp:simplePos x="0" y="0"/>
            <wp:positionH relativeFrom="column">
              <wp:posOffset>-609600</wp:posOffset>
            </wp:positionH>
            <wp:positionV relativeFrom="paragraph">
              <wp:posOffset>126365</wp:posOffset>
            </wp:positionV>
            <wp:extent cx="7134225" cy="5219700"/>
            <wp:effectExtent l="0" t="0" r="0" b="0"/>
            <wp:wrapNone/>
            <wp:docPr id="16" name="مخطط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478" w:rsidRPr="00236C24" w:rsidRDefault="009F5478">
      <w:pPr>
        <w:rPr>
          <w:rFonts w:cs="HeshamNormal"/>
          <w:sz w:val="26"/>
          <w:szCs w:val="26"/>
          <w:rtl/>
        </w:rPr>
      </w:pPr>
    </w:p>
    <w:p w:rsidR="009F5478" w:rsidRPr="00236C24" w:rsidRDefault="009F5478">
      <w:pPr>
        <w:rPr>
          <w:rFonts w:cs="HeshamNormal"/>
          <w:sz w:val="26"/>
          <w:szCs w:val="26"/>
          <w:rtl/>
        </w:rPr>
      </w:pPr>
    </w:p>
    <w:p w:rsidR="005C4F28" w:rsidRPr="00236C24" w:rsidRDefault="00B87B1E">
      <w:pPr>
        <w:rPr>
          <w:rFonts w:ascii="Cambria" w:hAnsi="Cambria" w:cs="HeshamNormal"/>
          <w:b/>
          <w:bCs/>
          <w:i/>
          <w:iCs/>
          <w:sz w:val="26"/>
          <w:szCs w:val="26"/>
          <w:lang w:eastAsia="ar-SA"/>
        </w:rPr>
      </w:pPr>
      <w:r w:rsidRPr="00236C24">
        <w:rPr>
          <w:rFonts w:cs="HeshamNormal"/>
          <w:sz w:val="26"/>
          <w:szCs w:val="26"/>
        </w:rPr>
        <w:br w:type="page"/>
      </w:r>
      <w:r w:rsidR="005C4F28" w:rsidRPr="00236C24">
        <w:rPr>
          <w:rFonts w:ascii="Arial" w:hAnsi="Arial" w:cs="HeshamNormal"/>
          <w:noProof/>
          <w:color w:val="000000"/>
          <w:sz w:val="26"/>
          <w:szCs w:val="26"/>
          <w:rtl/>
        </w:rPr>
        <w:lastRenderedPageBreak/>
        <w:drawing>
          <wp:anchor distT="0" distB="0" distL="114300" distR="114300" simplePos="0" relativeHeight="251661312" behindDoc="1" locked="0" layoutInCell="1" allowOverlap="1" wp14:anchorId="383EA260" wp14:editId="55E8028F">
            <wp:simplePos x="0" y="0"/>
            <wp:positionH relativeFrom="column">
              <wp:posOffset>-314325</wp:posOffset>
            </wp:positionH>
            <wp:positionV relativeFrom="paragraph">
              <wp:posOffset>308610</wp:posOffset>
            </wp:positionV>
            <wp:extent cx="6505575" cy="4905375"/>
            <wp:effectExtent l="57150" t="38100" r="47625" b="66675"/>
            <wp:wrapTight wrapText="bothSides">
              <wp:wrapPolygon edited="0">
                <wp:start x="-190" y="-168"/>
                <wp:lineTo x="-127" y="21810"/>
                <wp:lineTo x="21632" y="21810"/>
                <wp:lineTo x="21695" y="-168"/>
                <wp:lineTo x="-190" y="-168"/>
              </wp:wrapPolygon>
            </wp:wrapTight>
            <wp:docPr id="1175" name="مخطط 1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F28" w:rsidRPr="00236C24">
        <w:rPr>
          <w:rFonts w:cs="HeshamNormal"/>
          <w:sz w:val="26"/>
          <w:szCs w:val="26"/>
        </w:rPr>
        <w:br w:type="page"/>
      </w:r>
    </w:p>
    <w:p w:rsidR="005C4F28" w:rsidRPr="00236C24" w:rsidRDefault="005C4F28" w:rsidP="005C4F28">
      <w:pPr>
        <w:pStyle w:val="2"/>
        <w:spacing w:before="0" w:after="0" w:line="360" w:lineRule="auto"/>
        <w:jc w:val="center"/>
        <w:rPr>
          <w:rFonts w:cs="HeshamNormal"/>
          <w:b w:val="0"/>
          <w:bCs w:val="0"/>
          <w:i w:val="0"/>
          <w:iCs w:val="0"/>
          <w:sz w:val="26"/>
          <w:szCs w:val="26"/>
          <w:rtl/>
        </w:rPr>
      </w:pPr>
      <w:r w:rsidRPr="00236C24">
        <w:rPr>
          <w:rFonts w:cs="HeshamNormal" w:hint="cs"/>
          <w:b w:val="0"/>
          <w:bCs w:val="0"/>
          <w:i w:val="0"/>
          <w:iCs w:val="0"/>
          <w:sz w:val="26"/>
          <w:szCs w:val="26"/>
          <w:rtl/>
        </w:rPr>
        <w:lastRenderedPageBreak/>
        <w:t xml:space="preserve">تطور عدد الطالبات المنتظمات </w:t>
      </w:r>
      <w:r w:rsidRPr="00236C24">
        <w:rPr>
          <w:rFonts w:cs="HeshamNormal" w:hint="cs"/>
          <w:b w:val="0"/>
          <w:bCs w:val="0"/>
          <w:i w:val="0"/>
          <w:iCs w:val="0"/>
          <w:color w:val="FF0000"/>
          <w:sz w:val="26"/>
          <w:szCs w:val="26"/>
          <w:rtl/>
        </w:rPr>
        <w:t>بقسم اللغة الانجليزية</w:t>
      </w:r>
      <w:r w:rsidRPr="00236C24">
        <w:rPr>
          <w:rFonts w:cs="HeshamNormal" w:hint="cs"/>
          <w:b w:val="0"/>
          <w:bCs w:val="0"/>
          <w:i w:val="0"/>
          <w:iCs w:val="0"/>
          <w:sz w:val="26"/>
          <w:szCs w:val="26"/>
          <w:rtl/>
        </w:rPr>
        <w:t xml:space="preserve">  خلال السنوات الخمس من عام1428/1429هـ إلى نهاية العام الدراسي1432/1433هـ موزعات حسب المرحلة </w:t>
      </w:r>
      <w:r w:rsidRPr="00236C24">
        <w:rPr>
          <w:rFonts w:cs="HeshamNormal"/>
          <w:b w:val="0"/>
          <w:bCs w:val="0"/>
          <w:i w:val="0"/>
          <w:iCs w:val="0"/>
          <w:sz w:val="26"/>
          <w:szCs w:val="26"/>
        </w:rPr>
        <w:t xml:space="preserve"> </w:t>
      </w:r>
      <w:r w:rsidRPr="00236C24">
        <w:rPr>
          <w:rFonts w:cs="HeshamNormal" w:hint="cs"/>
          <w:b w:val="0"/>
          <w:bCs w:val="0"/>
          <w:i w:val="0"/>
          <w:iCs w:val="0"/>
          <w:sz w:val="26"/>
          <w:szCs w:val="26"/>
          <w:rtl/>
        </w:rPr>
        <w:t xml:space="preserve"> وحتى افتتاح البرنامج الحالي </w:t>
      </w:r>
    </w:p>
    <w:p w:rsidR="005C4F28" w:rsidRPr="00236C24" w:rsidRDefault="005C4F28" w:rsidP="005C4F28">
      <w:pPr>
        <w:spacing w:line="360" w:lineRule="auto"/>
        <w:rPr>
          <w:rFonts w:cs="HeshamNormal"/>
          <w:sz w:val="26"/>
          <w:szCs w:val="26"/>
          <w:rtl/>
          <w:lang w:eastAsia="ar-SA"/>
        </w:rPr>
      </w:pPr>
    </w:p>
    <w:tbl>
      <w:tblPr>
        <w:bidiVisual/>
        <w:tblW w:w="9437" w:type="dxa"/>
        <w:jc w:val="center"/>
        <w:tblInd w:w="-3308" w:type="dxa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6" w:space="0" w:color="7030A0"/>
          <w:insideV w:val="single" w:sz="6" w:space="0" w:color="7030A0"/>
        </w:tblBorders>
        <w:tblLook w:val="01E0" w:firstRow="1" w:lastRow="1" w:firstColumn="1" w:lastColumn="1" w:noHBand="0" w:noVBand="0"/>
      </w:tblPr>
      <w:tblGrid>
        <w:gridCol w:w="2916"/>
        <w:gridCol w:w="1646"/>
        <w:gridCol w:w="1171"/>
        <w:gridCol w:w="964"/>
        <w:gridCol w:w="1012"/>
        <w:gridCol w:w="1728"/>
      </w:tblGrid>
      <w:tr w:rsidR="005C4F28" w:rsidRPr="00236C24" w:rsidTr="005C4F28">
        <w:trPr>
          <w:trHeight w:val="611"/>
          <w:jc w:val="center"/>
        </w:trPr>
        <w:tc>
          <w:tcPr>
            <w:tcW w:w="2916" w:type="dxa"/>
            <w:vMerge w:val="restart"/>
            <w:vAlign w:val="center"/>
          </w:tcPr>
          <w:p w:rsidR="005C4F28" w:rsidRPr="00236C24" w:rsidRDefault="005C4F28" w:rsidP="005C4F28">
            <w:pPr>
              <w:pStyle w:val="2"/>
              <w:spacing w:before="0" w:after="0"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 w:hint="cs"/>
                <w:color w:val="7030A0"/>
                <w:sz w:val="26"/>
                <w:szCs w:val="26"/>
                <w:rtl/>
              </w:rPr>
              <w:t>القسم</w:t>
            </w:r>
          </w:p>
        </w:tc>
        <w:tc>
          <w:tcPr>
            <w:tcW w:w="6521" w:type="dxa"/>
            <w:gridSpan w:val="5"/>
            <w:vAlign w:val="center"/>
          </w:tcPr>
          <w:p w:rsidR="005C4F28" w:rsidRPr="00236C24" w:rsidRDefault="005C4F28" w:rsidP="005C4F28">
            <w:pPr>
              <w:pStyle w:val="2"/>
              <w:spacing w:before="0" w:after="0"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 w:hint="cs"/>
                <w:color w:val="7030A0"/>
                <w:sz w:val="26"/>
                <w:szCs w:val="26"/>
                <w:rtl/>
              </w:rPr>
              <w:t xml:space="preserve">الفرقة الدراسية </w:t>
            </w:r>
          </w:p>
        </w:tc>
      </w:tr>
      <w:tr w:rsidR="005C4F28" w:rsidRPr="00236C24" w:rsidTr="005C4F28">
        <w:trPr>
          <w:trHeight w:val="740"/>
          <w:jc w:val="center"/>
        </w:trPr>
        <w:tc>
          <w:tcPr>
            <w:tcW w:w="2916" w:type="dxa"/>
            <w:vMerge/>
            <w:vAlign w:val="center"/>
          </w:tcPr>
          <w:p w:rsidR="005C4F28" w:rsidRPr="00236C24" w:rsidRDefault="005C4F28" w:rsidP="005C4F28">
            <w:pPr>
              <w:pStyle w:val="2"/>
              <w:spacing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</w:p>
        </w:tc>
        <w:tc>
          <w:tcPr>
            <w:tcW w:w="1646" w:type="dxa"/>
            <w:vAlign w:val="center"/>
          </w:tcPr>
          <w:p w:rsidR="005C4F28" w:rsidRPr="00236C24" w:rsidRDefault="005C4F28" w:rsidP="005C4F28">
            <w:pPr>
              <w:pStyle w:val="2"/>
              <w:spacing w:before="0" w:after="0"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 w:hint="cs"/>
                <w:color w:val="7030A0"/>
                <w:sz w:val="26"/>
                <w:szCs w:val="26"/>
                <w:rtl/>
              </w:rPr>
              <w:t>أولى</w:t>
            </w:r>
          </w:p>
        </w:tc>
        <w:tc>
          <w:tcPr>
            <w:tcW w:w="1171" w:type="dxa"/>
            <w:vAlign w:val="center"/>
          </w:tcPr>
          <w:p w:rsidR="005C4F28" w:rsidRPr="00236C24" w:rsidRDefault="005C4F28" w:rsidP="005C4F28">
            <w:pPr>
              <w:pStyle w:val="2"/>
              <w:spacing w:before="0" w:after="0"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 w:hint="cs"/>
                <w:color w:val="7030A0"/>
                <w:sz w:val="26"/>
                <w:szCs w:val="26"/>
                <w:rtl/>
              </w:rPr>
              <w:t>ثانية</w:t>
            </w:r>
          </w:p>
        </w:tc>
        <w:tc>
          <w:tcPr>
            <w:tcW w:w="964" w:type="dxa"/>
            <w:vAlign w:val="center"/>
          </w:tcPr>
          <w:p w:rsidR="005C4F28" w:rsidRPr="00236C24" w:rsidRDefault="005C4F28" w:rsidP="005C4F28">
            <w:pPr>
              <w:pStyle w:val="2"/>
              <w:spacing w:before="0" w:after="0"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 w:hint="cs"/>
                <w:color w:val="7030A0"/>
                <w:sz w:val="26"/>
                <w:szCs w:val="26"/>
                <w:rtl/>
              </w:rPr>
              <w:t>ثالثة</w:t>
            </w:r>
          </w:p>
        </w:tc>
        <w:tc>
          <w:tcPr>
            <w:tcW w:w="1012" w:type="dxa"/>
            <w:vAlign w:val="center"/>
          </w:tcPr>
          <w:p w:rsidR="005C4F28" w:rsidRPr="00236C24" w:rsidRDefault="005C4F28" w:rsidP="005C4F28">
            <w:pPr>
              <w:pStyle w:val="2"/>
              <w:spacing w:before="0" w:after="0"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 w:hint="cs"/>
                <w:color w:val="7030A0"/>
                <w:sz w:val="26"/>
                <w:szCs w:val="26"/>
                <w:rtl/>
              </w:rPr>
              <w:t>رابعة</w:t>
            </w:r>
          </w:p>
        </w:tc>
        <w:tc>
          <w:tcPr>
            <w:tcW w:w="1728" w:type="dxa"/>
            <w:vAlign w:val="center"/>
          </w:tcPr>
          <w:p w:rsidR="005C4F28" w:rsidRPr="00236C24" w:rsidRDefault="005C4F28" w:rsidP="005C4F28">
            <w:pPr>
              <w:pStyle w:val="2"/>
              <w:spacing w:before="0" w:after="0"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 w:hint="cs"/>
                <w:color w:val="7030A0"/>
                <w:sz w:val="26"/>
                <w:szCs w:val="26"/>
                <w:rtl/>
              </w:rPr>
              <w:t>إجمالي</w:t>
            </w:r>
          </w:p>
        </w:tc>
      </w:tr>
      <w:tr w:rsidR="005C4F28" w:rsidRPr="00236C24" w:rsidTr="005C4F28">
        <w:trPr>
          <w:trHeight w:val="620"/>
          <w:jc w:val="center"/>
        </w:trPr>
        <w:tc>
          <w:tcPr>
            <w:tcW w:w="2916" w:type="dxa"/>
            <w:vAlign w:val="center"/>
          </w:tcPr>
          <w:p w:rsidR="005C4F28" w:rsidRPr="00236C24" w:rsidRDefault="005C4F28" w:rsidP="005C4F28">
            <w:pPr>
              <w:spacing w:line="360" w:lineRule="auto"/>
              <w:jc w:val="center"/>
              <w:rPr>
                <w:rFonts w:ascii="Cambria" w:hAnsi="Cambria" w:cs="HeshamNormal"/>
                <w:b/>
                <w:bCs/>
                <w:i/>
                <w:iCs/>
                <w:color w:val="7030A0"/>
                <w:sz w:val="26"/>
                <w:szCs w:val="26"/>
                <w:rtl/>
                <w:lang w:eastAsia="ar-SA"/>
              </w:rPr>
            </w:pPr>
            <w:r w:rsidRPr="00236C24">
              <w:rPr>
                <w:rFonts w:ascii="Cambria" w:hAnsi="Cambria" w:cs="HeshamNormal" w:hint="cs"/>
                <w:b/>
                <w:bCs/>
                <w:i/>
                <w:iCs/>
                <w:color w:val="7030A0"/>
                <w:sz w:val="26"/>
                <w:szCs w:val="26"/>
                <w:rtl/>
                <w:lang w:eastAsia="ar-SA"/>
              </w:rPr>
              <w:t>1428/1429</w:t>
            </w:r>
          </w:p>
        </w:tc>
        <w:tc>
          <w:tcPr>
            <w:tcW w:w="1646" w:type="dxa"/>
            <w:vAlign w:val="center"/>
          </w:tcPr>
          <w:p w:rsidR="005C4F28" w:rsidRPr="00236C24" w:rsidRDefault="005C4F28" w:rsidP="005C4F28">
            <w:pPr>
              <w:pStyle w:val="2"/>
              <w:spacing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/>
                <w:color w:val="7030A0"/>
                <w:sz w:val="26"/>
                <w:szCs w:val="26"/>
                <w:rtl/>
              </w:rPr>
              <w:t>36</w:t>
            </w:r>
          </w:p>
        </w:tc>
        <w:tc>
          <w:tcPr>
            <w:tcW w:w="1171" w:type="dxa"/>
            <w:vAlign w:val="center"/>
          </w:tcPr>
          <w:p w:rsidR="005C4F28" w:rsidRPr="00236C24" w:rsidRDefault="005C4F28" w:rsidP="005C4F28">
            <w:pPr>
              <w:pStyle w:val="2"/>
              <w:spacing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/>
                <w:color w:val="7030A0"/>
                <w:sz w:val="26"/>
                <w:szCs w:val="26"/>
                <w:rtl/>
              </w:rPr>
              <w:t>38</w:t>
            </w:r>
          </w:p>
        </w:tc>
        <w:tc>
          <w:tcPr>
            <w:tcW w:w="964" w:type="dxa"/>
            <w:vAlign w:val="center"/>
          </w:tcPr>
          <w:p w:rsidR="005C4F28" w:rsidRPr="00236C24" w:rsidRDefault="005C4F28" w:rsidP="005C4F28">
            <w:pPr>
              <w:pStyle w:val="2"/>
              <w:spacing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/>
                <w:color w:val="7030A0"/>
                <w:sz w:val="26"/>
                <w:szCs w:val="26"/>
                <w:rtl/>
              </w:rPr>
              <w:t>42</w:t>
            </w:r>
          </w:p>
        </w:tc>
        <w:tc>
          <w:tcPr>
            <w:tcW w:w="1012" w:type="dxa"/>
            <w:vAlign w:val="center"/>
          </w:tcPr>
          <w:p w:rsidR="005C4F28" w:rsidRPr="00236C24" w:rsidRDefault="005C4F28" w:rsidP="005C4F28">
            <w:pPr>
              <w:pStyle w:val="2"/>
              <w:spacing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/>
                <w:color w:val="7030A0"/>
                <w:sz w:val="26"/>
                <w:szCs w:val="26"/>
                <w:rtl/>
              </w:rPr>
              <w:t>32</w:t>
            </w:r>
          </w:p>
        </w:tc>
        <w:tc>
          <w:tcPr>
            <w:tcW w:w="1728" w:type="dxa"/>
            <w:vAlign w:val="center"/>
          </w:tcPr>
          <w:p w:rsidR="005C4F28" w:rsidRPr="00236C24" w:rsidRDefault="005C4F28" w:rsidP="005C4F28">
            <w:pPr>
              <w:pStyle w:val="2"/>
              <w:spacing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/>
                <w:color w:val="7030A0"/>
                <w:sz w:val="26"/>
                <w:szCs w:val="26"/>
                <w:rtl/>
              </w:rPr>
              <w:t>148</w:t>
            </w:r>
          </w:p>
        </w:tc>
      </w:tr>
      <w:tr w:rsidR="005C4F28" w:rsidRPr="00236C24" w:rsidTr="005C4F28">
        <w:trPr>
          <w:trHeight w:val="927"/>
          <w:jc w:val="center"/>
        </w:trPr>
        <w:tc>
          <w:tcPr>
            <w:tcW w:w="2916" w:type="dxa"/>
            <w:vAlign w:val="center"/>
          </w:tcPr>
          <w:p w:rsidR="005C4F28" w:rsidRPr="00236C24" w:rsidRDefault="005C4F28" w:rsidP="005C4F28">
            <w:pPr>
              <w:spacing w:line="360" w:lineRule="auto"/>
              <w:jc w:val="center"/>
              <w:rPr>
                <w:rFonts w:ascii="Cambria" w:hAnsi="Cambria" w:cs="HeshamNormal"/>
                <w:b/>
                <w:bCs/>
                <w:i/>
                <w:iCs/>
                <w:color w:val="7030A0"/>
                <w:sz w:val="26"/>
                <w:szCs w:val="26"/>
                <w:rtl/>
                <w:lang w:eastAsia="ar-SA"/>
              </w:rPr>
            </w:pPr>
            <w:r w:rsidRPr="00236C24">
              <w:rPr>
                <w:rFonts w:ascii="Cambria" w:hAnsi="Cambria" w:cs="HeshamNormal" w:hint="cs"/>
                <w:b/>
                <w:bCs/>
                <w:i/>
                <w:iCs/>
                <w:color w:val="7030A0"/>
                <w:sz w:val="26"/>
                <w:szCs w:val="26"/>
                <w:rtl/>
                <w:lang w:eastAsia="ar-SA"/>
              </w:rPr>
              <w:t>1429/1430</w:t>
            </w:r>
          </w:p>
        </w:tc>
        <w:tc>
          <w:tcPr>
            <w:tcW w:w="1646" w:type="dxa"/>
            <w:vAlign w:val="center"/>
          </w:tcPr>
          <w:p w:rsidR="005C4F28" w:rsidRPr="00236C24" w:rsidRDefault="005C4F28" w:rsidP="005C4F28">
            <w:pPr>
              <w:pStyle w:val="2"/>
              <w:spacing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 w:hint="cs"/>
                <w:color w:val="7030A0"/>
                <w:sz w:val="26"/>
                <w:szCs w:val="26"/>
                <w:rtl/>
              </w:rPr>
              <w:t>48</w:t>
            </w:r>
          </w:p>
        </w:tc>
        <w:tc>
          <w:tcPr>
            <w:tcW w:w="1171" w:type="dxa"/>
            <w:vAlign w:val="center"/>
          </w:tcPr>
          <w:p w:rsidR="005C4F28" w:rsidRPr="00236C24" w:rsidRDefault="005C4F28" w:rsidP="005C4F28">
            <w:pPr>
              <w:pStyle w:val="2"/>
              <w:spacing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 w:hint="cs"/>
                <w:color w:val="7030A0"/>
                <w:sz w:val="26"/>
                <w:szCs w:val="26"/>
                <w:rtl/>
              </w:rPr>
              <w:t>35</w:t>
            </w:r>
          </w:p>
        </w:tc>
        <w:tc>
          <w:tcPr>
            <w:tcW w:w="964" w:type="dxa"/>
            <w:vAlign w:val="center"/>
          </w:tcPr>
          <w:p w:rsidR="005C4F28" w:rsidRPr="00236C24" w:rsidRDefault="005C4F28" w:rsidP="005C4F28">
            <w:pPr>
              <w:pStyle w:val="2"/>
              <w:spacing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 w:hint="cs"/>
                <w:color w:val="7030A0"/>
                <w:sz w:val="26"/>
                <w:szCs w:val="26"/>
                <w:rtl/>
              </w:rPr>
              <w:t>38</w:t>
            </w:r>
          </w:p>
        </w:tc>
        <w:tc>
          <w:tcPr>
            <w:tcW w:w="1012" w:type="dxa"/>
            <w:vAlign w:val="center"/>
          </w:tcPr>
          <w:p w:rsidR="005C4F28" w:rsidRPr="00236C24" w:rsidRDefault="005C4F28" w:rsidP="005C4F28">
            <w:pPr>
              <w:pStyle w:val="2"/>
              <w:spacing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 w:hint="cs"/>
                <w:color w:val="7030A0"/>
                <w:sz w:val="26"/>
                <w:szCs w:val="26"/>
                <w:rtl/>
              </w:rPr>
              <w:t>45</w:t>
            </w:r>
          </w:p>
        </w:tc>
        <w:tc>
          <w:tcPr>
            <w:tcW w:w="1728" w:type="dxa"/>
            <w:vAlign w:val="center"/>
          </w:tcPr>
          <w:p w:rsidR="005C4F28" w:rsidRPr="00236C24" w:rsidRDefault="005C4F28" w:rsidP="005C4F28">
            <w:pPr>
              <w:pStyle w:val="2"/>
              <w:spacing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 w:hint="cs"/>
                <w:color w:val="7030A0"/>
                <w:sz w:val="26"/>
                <w:szCs w:val="26"/>
                <w:rtl/>
              </w:rPr>
              <w:t>166</w:t>
            </w:r>
          </w:p>
        </w:tc>
      </w:tr>
      <w:tr w:rsidR="005C4F28" w:rsidRPr="00236C24" w:rsidTr="005C4F28">
        <w:trPr>
          <w:trHeight w:val="908"/>
          <w:jc w:val="center"/>
        </w:trPr>
        <w:tc>
          <w:tcPr>
            <w:tcW w:w="2916" w:type="dxa"/>
            <w:vAlign w:val="center"/>
          </w:tcPr>
          <w:p w:rsidR="005C4F28" w:rsidRPr="00236C24" w:rsidRDefault="005C4F28" w:rsidP="005C4F28">
            <w:pPr>
              <w:spacing w:line="360" w:lineRule="auto"/>
              <w:jc w:val="center"/>
              <w:rPr>
                <w:rFonts w:ascii="Cambria" w:hAnsi="Cambria" w:cs="HeshamNormal"/>
                <w:b/>
                <w:bCs/>
                <w:i/>
                <w:iCs/>
                <w:color w:val="7030A0"/>
                <w:sz w:val="26"/>
                <w:szCs w:val="26"/>
                <w:rtl/>
                <w:lang w:eastAsia="ar-SA"/>
              </w:rPr>
            </w:pPr>
            <w:r w:rsidRPr="00236C24">
              <w:rPr>
                <w:rFonts w:ascii="Cambria" w:hAnsi="Cambria" w:cs="HeshamNormal" w:hint="cs"/>
                <w:b/>
                <w:bCs/>
                <w:i/>
                <w:iCs/>
                <w:color w:val="7030A0"/>
                <w:sz w:val="26"/>
                <w:szCs w:val="26"/>
                <w:rtl/>
                <w:lang w:eastAsia="ar-SA"/>
              </w:rPr>
              <w:t>1430/1431</w:t>
            </w:r>
          </w:p>
        </w:tc>
        <w:tc>
          <w:tcPr>
            <w:tcW w:w="1646" w:type="dxa"/>
            <w:vAlign w:val="center"/>
          </w:tcPr>
          <w:p w:rsidR="005C4F28" w:rsidRPr="00236C24" w:rsidRDefault="005C4F28" w:rsidP="005C4F28">
            <w:pPr>
              <w:pStyle w:val="2"/>
              <w:spacing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 w:hint="cs"/>
                <w:color w:val="7030A0"/>
                <w:sz w:val="26"/>
                <w:szCs w:val="26"/>
                <w:rtl/>
              </w:rPr>
              <w:t>72</w:t>
            </w:r>
          </w:p>
        </w:tc>
        <w:tc>
          <w:tcPr>
            <w:tcW w:w="1171" w:type="dxa"/>
            <w:vAlign w:val="center"/>
          </w:tcPr>
          <w:p w:rsidR="005C4F28" w:rsidRPr="00236C24" w:rsidRDefault="005C4F28" w:rsidP="005C4F28">
            <w:pPr>
              <w:pStyle w:val="2"/>
              <w:spacing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 w:hint="cs"/>
                <w:color w:val="7030A0"/>
                <w:sz w:val="26"/>
                <w:szCs w:val="26"/>
                <w:rtl/>
              </w:rPr>
              <w:t>49</w:t>
            </w:r>
          </w:p>
        </w:tc>
        <w:tc>
          <w:tcPr>
            <w:tcW w:w="964" w:type="dxa"/>
            <w:vAlign w:val="center"/>
          </w:tcPr>
          <w:p w:rsidR="005C4F28" w:rsidRPr="00236C24" w:rsidRDefault="005C4F28" w:rsidP="005C4F28">
            <w:pPr>
              <w:pStyle w:val="2"/>
              <w:spacing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 w:hint="cs"/>
                <w:color w:val="7030A0"/>
                <w:sz w:val="26"/>
                <w:szCs w:val="26"/>
                <w:rtl/>
              </w:rPr>
              <w:t>34</w:t>
            </w:r>
          </w:p>
        </w:tc>
        <w:tc>
          <w:tcPr>
            <w:tcW w:w="1012" w:type="dxa"/>
            <w:vAlign w:val="center"/>
          </w:tcPr>
          <w:p w:rsidR="005C4F28" w:rsidRPr="00236C24" w:rsidRDefault="005C4F28" w:rsidP="005C4F28">
            <w:pPr>
              <w:pStyle w:val="2"/>
              <w:spacing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 w:hint="cs"/>
                <w:color w:val="7030A0"/>
                <w:sz w:val="26"/>
                <w:szCs w:val="26"/>
                <w:rtl/>
              </w:rPr>
              <w:t>40</w:t>
            </w:r>
          </w:p>
        </w:tc>
        <w:tc>
          <w:tcPr>
            <w:tcW w:w="1728" w:type="dxa"/>
            <w:vAlign w:val="center"/>
          </w:tcPr>
          <w:p w:rsidR="005C4F28" w:rsidRPr="00236C24" w:rsidRDefault="005C4F28" w:rsidP="005C4F28">
            <w:pPr>
              <w:pStyle w:val="2"/>
              <w:spacing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 w:hint="cs"/>
                <w:color w:val="7030A0"/>
                <w:sz w:val="26"/>
                <w:szCs w:val="26"/>
                <w:rtl/>
              </w:rPr>
              <w:t>195</w:t>
            </w:r>
          </w:p>
        </w:tc>
      </w:tr>
      <w:tr w:rsidR="005C4F28" w:rsidRPr="00236C24" w:rsidTr="005C4F28">
        <w:trPr>
          <w:trHeight w:val="927"/>
          <w:jc w:val="center"/>
        </w:trPr>
        <w:tc>
          <w:tcPr>
            <w:tcW w:w="2916" w:type="dxa"/>
            <w:vAlign w:val="center"/>
          </w:tcPr>
          <w:p w:rsidR="005C4F28" w:rsidRPr="00236C24" w:rsidRDefault="005C4F28" w:rsidP="005C4F28">
            <w:pPr>
              <w:spacing w:line="360" w:lineRule="auto"/>
              <w:jc w:val="center"/>
              <w:rPr>
                <w:rFonts w:ascii="Cambria" w:hAnsi="Cambria" w:cs="HeshamNormal"/>
                <w:b/>
                <w:bCs/>
                <w:i/>
                <w:iCs/>
                <w:color w:val="7030A0"/>
                <w:sz w:val="26"/>
                <w:szCs w:val="26"/>
                <w:rtl/>
                <w:lang w:eastAsia="ar-SA"/>
              </w:rPr>
            </w:pPr>
            <w:r w:rsidRPr="00236C24">
              <w:rPr>
                <w:rFonts w:ascii="Cambria" w:hAnsi="Cambria" w:cs="HeshamNormal" w:hint="cs"/>
                <w:b/>
                <w:bCs/>
                <w:i/>
                <w:iCs/>
                <w:color w:val="7030A0"/>
                <w:sz w:val="26"/>
                <w:szCs w:val="26"/>
                <w:rtl/>
                <w:lang w:eastAsia="ar-SA"/>
              </w:rPr>
              <w:t>1431/1432</w:t>
            </w:r>
          </w:p>
        </w:tc>
        <w:tc>
          <w:tcPr>
            <w:tcW w:w="1646" w:type="dxa"/>
            <w:vAlign w:val="center"/>
          </w:tcPr>
          <w:p w:rsidR="005C4F28" w:rsidRPr="00236C24" w:rsidRDefault="005C4F28" w:rsidP="005C4F28">
            <w:pPr>
              <w:pStyle w:val="2"/>
              <w:spacing w:line="360" w:lineRule="auto"/>
              <w:jc w:val="center"/>
              <w:rPr>
                <w:rFonts w:cs="HeshamNormal" w:hint="cs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 w:hint="cs"/>
                <w:color w:val="7030A0"/>
                <w:sz w:val="26"/>
                <w:szCs w:val="26"/>
                <w:rtl/>
              </w:rPr>
              <w:t>83</w:t>
            </w:r>
          </w:p>
        </w:tc>
        <w:tc>
          <w:tcPr>
            <w:tcW w:w="1171" w:type="dxa"/>
            <w:vAlign w:val="center"/>
          </w:tcPr>
          <w:p w:rsidR="005C4F28" w:rsidRPr="00236C24" w:rsidRDefault="005C4F28" w:rsidP="005C4F28">
            <w:pPr>
              <w:pStyle w:val="2"/>
              <w:spacing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 w:hint="cs"/>
                <w:color w:val="7030A0"/>
                <w:sz w:val="26"/>
                <w:szCs w:val="26"/>
                <w:rtl/>
              </w:rPr>
              <w:t>43</w:t>
            </w:r>
          </w:p>
        </w:tc>
        <w:tc>
          <w:tcPr>
            <w:tcW w:w="964" w:type="dxa"/>
            <w:vAlign w:val="center"/>
          </w:tcPr>
          <w:p w:rsidR="005C4F28" w:rsidRPr="00236C24" w:rsidRDefault="005C4F28" w:rsidP="005C4F28">
            <w:pPr>
              <w:pStyle w:val="2"/>
              <w:spacing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 w:hint="cs"/>
                <w:color w:val="7030A0"/>
                <w:sz w:val="26"/>
                <w:szCs w:val="26"/>
                <w:rtl/>
              </w:rPr>
              <w:t>44</w:t>
            </w:r>
          </w:p>
        </w:tc>
        <w:tc>
          <w:tcPr>
            <w:tcW w:w="1012" w:type="dxa"/>
            <w:vAlign w:val="center"/>
          </w:tcPr>
          <w:p w:rsidR="005C4F28" w:rsidRPr="00236C24" w:rsidRDefault="005C4F28" w:rsidP="005C4F28">
            <w:pPr>
              <w:pStyle w:val="2"/>
              <w:spacing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 w:hint="cs"/>
                <w:color w:val="7030A0"/>
                <w:sz w:val="26"/>
                <w:szCs w:val="26"/>
                <w:rtl/>
              </w:rPr>
              <w:t>43</w:t>
            </w:r>
          </w:p>
        </w:tc>
        <w:tc>
          <w:tcPr>
            <w:tcW w:w="1728" w:type="dxa"/>
            <w:vAlign w:val="center"/>
          </w:tcPr>
          <w:p w:rsidR="005C4F28" w:rsidRPr="00236C24" w:rsidRDefault="005C4F28" w:rsidP="005C4F28">
            <w:pPr>
              <w:pStyle w:val="2"/>
              <w:spacing w:line="360" w:lineRule="auto"/>
              <w:jc w:val="center"/>
              <w:rPr>
                <w:rFonts w:cs="HeshamNormal"/>
                <w:color w:val="7030A0"/>
                <w:sz w:val="26"/>
                <w:szCs w:val="26"/>
                <w:rtl/>
              </w:rPr>
            </w:pPr>
            <w:r w:rsidRPr="00236C24">
              <w:rPr>
                <w:rFonts w:cs="HeshamNormal" w:hint="cs"/>
                <w:color w:val="7030A0"/>
                <w:sz w:val="26"/>
                <w:szCs w:val="26"/>
                <w:rtl/>
              </w:rPr>
              <w:t>213</w:t>
            </w:r>
          </w:p>
        </w:tc>
      </w:tr>
    </w:tbl>
    <w:p w:rsidR="005C4F28" w:rsidRPr="00236C24" w:rsidRDefault="005C4F28" w:rsidP="005C4F28">
      <w:pPr>
        <w:spacing w:line="360" w:lineRule="auto"/>
        <w:rPr>
          <w:rFonts w:cs="HeshamNormal"/>
          <w:sz w:val="26"/>
          <w:szCs w:val="26"/>
        </w:rPr>
      </w:pPr>
    </w:p>
    <w:p w:rsidR="005C4F28" w:rsidRPr="00236C24" w:rsidRDefault="005C4F28" w:rsidP="005C4F28">
      <w:pPr>
        <w:spacing w:line="360" w:lineRule="auto"/>
        <w:rPr>
          <w:rFonts w:cs="HeshamNormal"/>
          <w:sz w:val="26"/>
          <w:szCs w:val="26"/>
        </w:rPr>
      </w:pPr>
    </w:p>
    <w:p w:rsidR="00B87B1E" w:rsidRPr="00236C24" w:rsidRDefault="00B87B1E" w:rsidP="005C4F28">
      <w:pPr>
        <w:spacing w:line="360" w:lineRule="auto"/>
        <w:rPr>
          <w:rFonts w:cs="HeshamNormal"/>
          <w:sz w:val="26"/>
          <w:szCs w:val="26"/>
        </w:rPr>
      </w:pPr>
      <w:bookmarkStart w:id="0" w:name="_GoBack"/>
      <w:bookmarkEnd w:id="0"/>
    </w:p>
    <w:sectPr w:rsidR="00B87B1E" w:rsidRPr="00236C24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5E" w:rsidRDefault="00B6475E" w:rsidP="005C4F28">
      <w:r>
        <w:separator/>
      </w:r>
    </w:p>
  </w:endnote>
  <w:endnote w:type="continuationSeparator" w:id="0">
    <w:p w:rsidR="00B6475E" w:rsidRDefault="00B6475E" w:rsidP="005C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5E" w:rsidRDefault="00B6475E" w:rsidP="005C4F28">
      <w:r>
        <w:separator/>
      </w:r>
    </w:p>
  </w:footnote>
  <w:footnote w:type="continuationSeparator" w:id="0">
    <w:p w:rsidR="00B6475E" w:rsidRDefault="00B6475E" w:rsidP="005C4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F28" w:rsidRDefault="005C4F28" w:rsidP="005C4F28">
    <w:pPr>
      <w:pStyle w:val="a3"/>
    </w:pPr>
  </w:p>
  <w:tbl>
    <w:tblPr>
      <w:bidiVisual/>
      <w:tblW w:w="0" w:type="auto"/>
      <w:jc w:val="center"/>
      <w:tblLook w:val="04A0" w:firstRow="1" w:lastRow="0" w:firstColumn="1" w:lastColumn="0" w:noHBand="0" w:noVBand="1"/>
    </w:tblPr>
    <w:tblGrid>
      <w:gridCol w:w="2345"/>
      <w:gridCol w:w="3008"/>
      <w:gridCol w:w="3503"/>
    </w:tblGrid>
    <w:tr w:rsidR="005C4F28" w:rsidRPr="002C02F7" w:rsidTr="00BC2D33">
      <w:trPr>
        <w:trHeight w:hRule="exact" w:val="510"/>
        <w:jc w:val="center"/>
      </w:trPr>
      <w:tc>
        <w:tcPr>
          <w:tcW w:w="3808" w:type="dxa"/>
          <w:shd w:val="clear" w:color="auto" w:fill="auto"/>
          <w:vAlign w:val="center"/>
        </w:tcPr>
        <w:p w:rsidR="005C4F28" w:rsidRPr="002C02F7" w:rsidRDefault="005C4F28" w:rsidP="00BC2D33">
          <w:pPr>
            <w:jc w:val="center"/>
            <w:rPr>
              <w:b/>
              <w:bCs/>
              <w:color w:val="7030A0"/>
              <w:sz w:val="28"/>
              <w:szCs w:val="28"/>
              <w:rtl/>
            </w:rPr>
          </w:pPr>
          <w:r w:rsidRPr="00FC4612">
            <w:rPr>
              <w:rFonts w:cs="Hesham Bold" w:hint="cs"/>
              <w:b/>
              <w:bCs/>
              <w:color w:val="7030A0"/>
              <w:sz w:val="28"/>
              <w:szCs w:val="28"/>
              <w:rtl/>
            </w:rPr>
            <w:t>المملكة العربية السعودية</w:t>
          </w:r>
        </w:p>
      </w:tc>
      <w:tc>
        <w:tcPr>
          <w:tcW w:w="3275" w:type="dxa"/>
          <w:vMerge w:val="restart"/>
          <w:shd w:val="clear" w:color="auto" w:fill="auto"/>
          <w:vAlign w:val="center"/>
        </w:tcPr>
        <w:p w:rsidR="005C4F28" w:rsidRPr="002C02F7" w:rsidRDefault="005C4F28" w:rsidP="00BC2D33">
          <w:pPr>
            <w:spacing w:line="440" w:lineRule="exact"/>
            <w:jc w:val="center"/>
            <w:rPr>
              <w:b/>
              <w:bCs/>
              <w:color w:val="7030A0"/>
              <w:sz w:val="28"/>
              <w:szCs w:val="28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16E7E04" wp14:editId="76E53F5C">
                <wp:simplePos x="0" y="0"/>
                <wp:positionH relativeFrom="column">
                  <wp:posOffset>304800</wp:posOffset>
                </wp:positionH>
                <wp:positionV relativeFrom="paragraph">
                  <wp:posOffset>290195</wp:posOffset>
                </wp:positionV>
                <wp:extent cx="1609725" cy="1168400"/>
                <wp:effectExtent l="0" t="0" r="9525" b="0"/>
                <wp:wrapTight wrapText="bothSides">
                  <wp:wrapPolygon edited="0">
                    <wp:start x="0" y="0"/>
                    <wp:lineTo x="0" y="21130"/>
                    <wp:lineTo x="21472" y="21130"/>
                    <wp:lineTo x="21472" y="0"/>
                    <wp:lineTo x="0" y="0"/>
                  </wp:wrapPolygon>
                </wp:wrapTight>
                <wp:docPr id="1" name="صورة 1" descr="الوصف: H:\ليلى اخر فلاش 2\اخر سطح مكتب\New folder\شعار الكلي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 descr="الوصف: H:\ليلى اخر فلاش 2\اخر سطح مكتب\New folder\شعار الكلية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46" w:type="dxa"/>
          <w:shd w:val="clear" w:color="auto" w:fill="auto"/>
          <w:vAlign w:val="center"/>
        </w:tcPr>
        <w:p w:rsidR="005C4F28" w:rsidRPr="002C02F7" w:rsidRDefault="005C4F28" w:rsidP="00BC2D33">
          <w:pPr>
            <w:spacing w:line="440" w:lineRule="exact"/>
            <w:jc w:val="center"/>
            <w:rPr>
              <w:b/>
              <w:bCs/>
              <w:color w:val="7030A0"/>
              <w:sz w:val="28"/>
              <w:szCs w:val="28"/>
            </w:rPr>
          </w:pPr>
          <w:smartTag w:uri="urn:schemas-microsoft-com:office:smarttags" w:element="place">
            <w:smartTag w:uri="urn:schemas-microsoft-com:office:smarttags" w:element="City">
              <w:smartTag w:uri="urn:schemas-microsoft-com:office:smarttags" w:element="PlaceType">
                <w:r w:rsidRPr="00FC4612">
                  <w:rPr>
                    <w:rFonts w:cs="Hesham Bold"/>
                    <w:b/>
                    <w:bCs/>
                    <w:color w:val="7030A0"/>
                    <w:sz w:val="28"/>
                    <w:szCs w:val="28"/>
                  </w:rPr>
                  <w:t>KINGDOM</w:t>
                </w:r>
              </w:smartTag>
              <w:r w:rsidRPr="00FC4612">
                <w:rPr>
                  <w:rFonts w:cs="Hesham Bold"/>
                  <w:b/>
                  <w:bCs/>
                  <w:color w:val="7030A0"/>
                  <w:sz w:val="28"/>
                  <w:szCs w:val="28"/>
                </w:rPr>
                <w:t xml:space="preserve"> OF </w:t>
              </w:r>
              <w:smartTag w:uri="urn:schemas-microsoft-com:office:smarttags" w:element="PlaceName">
                <w:r w:rsidRPr="00FC4612">
                  <w:rPr>
                    <w:rFonts w:cs="Hesham Bold"/>
                    <w:b/>
                    <w:bCs/>
                    <w:color w:val="7030A0"/>
                    <w:sz w:val="28"/>
                    <w:szCs w:val="28"/>
                  </w:rPr>
                  <w:t>SAUDI ARABIA</w:t>
                </w:r>
              </w:smartTag>
            </w:smartTag>
          </w:smartTag>
        </w:p>
      </w:tc>
    </w:tr>
    <w:tr w:rsidR="005C4F28" w:rsidRPr="002C02F7" w:rsidTr="00BC2D33">
      <w:trPr>
        <w:trHeight w:hRule="exact" w:val="510"/>
        <w:jc w:val="center"/>
      </w:trPr>
      <w:tc>
        <w:tcPr>
          <w:tcW w:w="3808" w:type="dxa"/>
          <w:shd w:val="clear" w:color="auto" w:fill="auto"/>
          <w:vAlign w:val="center"/>
        </w:tcPr>
        <w:p w:rsidR="005C4F28" w:rsidRPr="002C02F7" w:rsidRDefault="005C4F28" w:rsidP="00BC2D33">
          <w:pPr>
            <w:jc w:val="center"/>
            <w:rPr>
              <w:b/>
              <w:bCs/>
              <w:color w:val="7030A0"/>
              <w:sz w:val="28"/>
              <w:szCs w:val="28"/>
              <w:rtl/>
            </w:rPr>
          </w:pPr>
          <w:r w:rsidRPr="00FC4612">
            <w:rPr>
              <w:rFonts w:cs="Hesham Bold" w:hint="cs"/>
              <w:b/>
              <w:bCs/>
              <w:color w:val="7030A0"/>
              <w:sz w:val="28"/>
              <w:szCs w:val="28"/>
              <w:rtl/>
            </w:rPr>
            <w:t>وزارة التعليم العالي</w:t>
          </w:r>
        </w:p>
      </w:tc>
      <w:tc>
        <w:tcPr>
          <w:tcW w:w="3275" w:type="dxa"/>
          <w:vMerge/>
          <w:shd w:val="clear" w:color="auto" w:fill="auto"/>
          <w:vAlign w:val="center"/>
        </w:tcPr>
        <w:p w:rsidR="005C4F28" w:rsidRPr="00FC4612" w:rsidRDefault="005C4F28" w:rsidP="00BC2D33">
          <w:pPr>
            <w:spacing w:line="440" w:lineRule="exact"/>
            <w:jc w:val="center"/>
            <w:rPr>
              <w:rFonts w:cs="Hesham Bold"/>
              <w:b/>
              <w:bCs/>
              <w:color w:val="7030A0"/>
              <w:sz w:val="28"/>
              <w:szCs w:val="28"/>
              <w:rtl/>
            </w:rPr>
          </w:pPr>
        </w:p>
      </w:tc>
      <w:tc>
        <w:tcPr>
          <w:tcW w:w="5546" w:type="dxa"/>
          <w:shd w:val="clear" w:color="auto" w:fill="auto"/>
          <w:vAlign w:val="center"/>
        </w:tcPr>
        <w:p w:rsidR="005C4F28" w:rsidRPr="002C02F7" w:rsidRDefault="005C4F28" w:rsidP="00BC2D33">
          <w:pPr>
            <w:spacing w:line="440" w:lineRule="exact"/>
            <w:jc w:val="center"/>
            <w:rPr>
              <w:b/>
              <w:bCs/>
              <w:color w:val="7030A0"/>
              <w:sz w:val="28"/>
              <w:szCs w:val="28"/>
              <w:rtl/>
            </w:rPr>
          </w:pPr>
          <w:r w:rsidRPr="00FC4612">
            <w:rPr>
              <w:rFonts w:cs="Hesham Bold"/>
              <w:b/>
              <w:bCs/>
              <w:color w:val="7030A0"/>
              <w:sz w:val="28"/>
              <w:szCs w:val="28"/>
            </w:rPr>
            <w:t>Ministry of Higher Education</w:t>
          </w:r>
        </w:p>
      </w:tc>
    </w:tr>
    <w:tr w:rsidR="005C4F28" w:rsidRPr="002C02F7" w:rsidTr="00BC2D33">
      <w:trPr>
        <w:trHeight w:hRule="exact" w:val="510"/>
        <w:jc w:val="center"/>
      </w:trPr>
      <w:tc>
        <w:tcPr>
          <w:tcW w:w="3808" w:type="dxa"/>
          <w:shd w:val="clear" w:color="auto" w:fill="auto"/>
          <w:vAlign w:val="center"/>
        </w:tcPr>
        <w:p w:rsidR="005C4F28" w:rsidRPr="002C02F7" w:rsidRDefault="005C4F28" w:rsidP="00BC2D33">
          <w:pPr>
            <w:jc w:val="center"/>
            <w:rPr>
              <w:b/>
              <w:bCs/>
              <w:color w:val="7030A0"/>
              <w:sz w:val="28"/>
              <w:szCs w:val="28"/>
              <w:rtl/>
            </w:rPr>
          </w:pPr>
          <w:r w:rsidRPr="00FC4612">
            <w:rPr>
              <w:rFonts w:cs="Hesham Bold" w:hint="cs"/>
              <w:b/>
              <w:bCs/>
              <w:color w:val="7030A0"/>
              <w:sz w:val="28"/>
              <w:szCs w:val="28"/>
              <w:rtl/>
            </w:rPr>
            <w:t>جامعة  المجمعة</w:t>
          </w:r>
        </w:p>
      </w:tc>
      <w:tc>
        <w:tcPr>
          <w:tcW w:w="3275" w:type="dxa"/>
          <w:vMerge/>
          <w:shd w:val="clear" w:color="auto" w:fill="auto"/>
          <w:vAlign w:val="center"/>
        </w:tcPr>
        <w:p w:rsidR="005C4F28" w:rsidRPr="00FC4612" w:rsidRDefault="005C4F28" w:rsidP="00BC2D33">
          <w:pPr>
            <w:spacing w:line="440" w:lineRule="exact"/>
            <w:jc w:val="center"/>
            <w:rPr>
              <w:rFonts w:cs="Hesham Bold"/>
              <w:b/>
              <w:bCs/>
              <w:color w:val="7030A0"/>
              <w:sz w:val="28"/>
              <w:szCs w:val="28"/>
              <w:rtl/>
            </w:rPr>
          </w:pPr>
        </w:p>
      </w:tc>
      <w:tc>
        <w:tcPr>
          <w:tcW w:w="5546" w:type="dxa"/>
          <w:shd w:val="clear" w:color="auto" w:fill="auto"/>
          <w:vAlign w:val="center"/>
        </w:tcPr>
        <w:p w:rsidR="005C4F28" w:rsidRPr="002C02F7" w:rsidRDefault="005C4F28" w:rsidP="00BC2D33">
          <w:pPr>
            <w:spacing w:line="440" w:lineRule="exact"/>
            <w:jc w:val="center"/>
            <w:rPr>
              <w:b/>
              <w:bCs/>
              <w:color w:val="7030A0"/>
              <w:sz w:val="28"/>
              <w:szCs w:val="28"/>
              <w:rtl/>
            </w:rPr>
          </w:pPr>
          <w:r w:rsidRPr="00FC4612">
            <w:rPr>
              <w:rFonts w:cs="Hesham Bold"/>
              <w:b/>
              <w:bCs/>
              <w:color w:val="7030A0"/>
              <w:sz w:val="28"/>
              <w:szCs w:val="28"/>
            </w:rPr>
            <w:t>AL-</w:t>
          </w:r>
          <w:proofErr w:type="spellStart"/>
          <w:r w:rsidRPr="00FC4612">
            <w:rPr>
              <w:rFonts w:cs="Hesham Bold"/>
              <w:b/>
              <w:bCs/>
              <w:color w:val="7030A0"/>
              <w:sz w:val="28"/>
              <w:szCs w:val="28"/>
            </w:rPr>
            <w:t>Majma'ah</w:t>
          </w:r>
          <w:proofErr w:type="spellEnd"/>
          <w:r w:rsidRPr="00FC4612">
            <w:rPr>
              <w:rFonts w:cs="Hesham Bold"/>
              <w:b/>
              <w:bCs/>
              <w:color w:val="7030A0"/>
              <w:sz w:val="28"/>
              <w:szCs w:val="28"/>
            </w:rPr>
            <w:t xml:space="preserve"> University</w:t>
          </w:r>
        </w:p>
      </w:tc>
    </w:tr>
    <w:tr w:rsidR="005C4F28" w:rsidRPr="002C02F7" w:rsidTr="00BC2D33">
      <w:trPr>
        <w:trHeight w:hRule="exact" w:val="510"/>
        <w:jc w:val="center"/>
      </w:trPr>
      <w:tc>
        <w:tcPr>
          <w:tcW w:w="3808" w:type="dxa"/>
          <w:shd w:val="clear" w:color="auto" w:fill="auto"/>
          <w:vAlign w:val="center"/>
        </w:tcPr>
        <w:p w:rsidR="005C4F28" w:rsidRPr="002C02F7" w:rsidRDefault="005C4F28" w:rsidP="00BC2D33">
          <w:pPr>
            <w:jc w:val="center"/>
            <w:rPr>
              <w:b/>
              <w:bCs/>
              <w:color w:val="7030A0"/>
              <w:sz w:val="28"/>
              <w:szCs w:val="28"/>
              <w:rtl/>
            </w:rPr>
          </w:pPr>
          <w:r w:rsidRPr="00FC4612">
            <w:rPr>
              <w:rFonts w:cs="Hesham Bold" w:hint="cs"/>
              <w:b/>
              <w:bCs/>
              <w:color w:val="7030A0"/>
              <w:sz w:val="28"/>
              <w:szCs w:val="28"/>
              <w:rtl/>
            </w:rPr>
            <w:t>كلية التربية بالزلفي</w:t>
          </w:r>
        </w:p>
      </w:tc>
      <w:tc>
        <w:tcPr>
          <w:tcW w:w="3275" w:type="dxa"/>
          <w:vMerge/>
          <w:shd w:val="clear" w:color="auto" w:fill="auto"/>
          <w:vAlign w:val="center"/>
        </w:tcPr>
        <w:p w:rsidR="005C4F28" w:rsidRPr="00FC4612" w:rsidRDefault="005C4F28" w:rsidP="00BC2D33">
          <w:pPr>
            <w:spacing w:line="440" w:lineRule="exact"/>
            <w:jc w:val="center"/>
            <w:rPr>
              <w:rFonts w:cs="Hesham Bold"/>
              <w:b/>
              <w:bCs/>
              <w:color w:val="7030A0"/>
              <w:sz w:val="28"/>
              <w:szCs w:val="28"/>
              <w:rtl/>
            </w:rPr>
          </w:pPr>
        </w:p>
      </w:tc>
      <w:tc>
        <w:tcPr>
          <w:tcW w:w="5546" w:type="dxa"/>
          <w:shd w:val="clear" w:color="auto" w:fill="auto"/>
          <w:vAlign w:val="center"/>
        </w:tcPr>
        <w:p w:rsidR="005C4F28" w:rsidRPr="002C02F7" w:rsidRDefault="005C4F28" w:rsidP="00BC2D33">
          <w:pPr>
            <w:spacing w:line="440" w:lineRule="exact"/>
            <w:jc w:val="center"/>
            <w:rPr>
              <w:b/>
              <w:bCs/>
              <w:color w:val="7030A0"/>
              <w:sz w:val="28"/>
              <w:szCs w:val="28"/>
            </w:rPr>
          </w:pPr>
          <w:r w:rsidRPr="00FC4612">
            <w:rPr>
              <w:rFonts w:cs="Hesham Bold"/>
              <w:b/>
              <w:bCs/>
              <w:color w:val="7030A0"/>
              <w:sz w:val="28"/>
              <w:szCs w:val="28"/>
            </w:rPr>
            <w:t xml:space="preserve">Faculty of Education - </w:t>
          </w:r>
          <w:proofErr w:type="spellStart"/>
          <w:r w:rsidRPr="00FC4612">
            <w:rPr>
              <w:rFonts w:cs="Hesham Bold"/>
              <w:b/>
              <w:bCs/>
              <w:color w:val="7030A0"/>
              <w:sz w:val="28"/>
              <w:szCs w:val="28"/>
            </w:rPr>
            <w:t>Zilfi</w:t>
          </w:r>
          <w:proofErr w:type="spellEnd"/>
        </w:p>
      </w:tc>
    </w:tr>
    <w:tr w:rsidR="005C4F28" w:rsidRPr="002C02F7" w:rsidTr="00BC2D33">
      <w:trPr>
        <w:trHeight w:hRule="exact" w:val="510"/>
        <w:jc w:val="center"/>
      </w:trPr>
      <w:tc>
        <w:tcPr>
          <w:tcW w:w="3808" w:type="dxa"/>
          <w:shd w:val="clear" w:color="auto" w:fill="auto"/>
          <w:vAlign w:val="center"/>
        </w:tcPr>
        <w:p w:rsidR="005C4F28" w:rsidRPr="002C02F7" w:rsidRDefault="005C4F28" w:rsidP="00BC2D33">
          <w:pPr>
            <w:spacing w:line="440" w:lineRule="exact"/>
            <w:jc w:val="center"/>
            <w:rPr>
              <w:b/>
              <w:bCs/>
              <w:color w:val="7030A0"/>
              <w:sz w:val="28"/>
              <w:szCs w:val="28"/>
              <w:rtl/>
            </w:rPr>
          </w:pPr>
          <w:r w:rsidRPr="00FC4612">
            <w:rPr>
              <w:rFonts w:cs="Hesham Bold" w:hint="cs"/>
              <w:b/>
              <w:bCs/>
              <w:color w:val="7030A0"/>
              <w:sz w:val="28"/>
              <w:szCs w:val="28"/>
              <w:rtl/>
            </w:rPr>
            <w:t>قسم اللغة الانجليزية</w:t>
          </w:r>
        </w:p>
      </w:tc>
      <w:tc>
        <w:tcPr>
          <w:tcW w:w="3275" w:type="dxa"/>
          <w:vMerge/>
          <w:shd w:val="clear" w:color="auto" w:fill="auto"/>
          <w:vAlign w:val="center"/>
        </w:tcPr>
        <w:p w:rsidR="005C4F28" w:rsidRPr="00FC4612" w:rsidRDefault="005C4F28" w:rsidP="00BC2D33">
          <w:pPr>
            <w:spacing w:line="440" w:lineRule="exact"/>
            <w:jc w:val="center"/>
            <w:rPr>
              <w:rFonts w:cs="Hesham Bold"/>
              <w:b/>
              <w:bCs/>
              <w:color w:val="7030A0"/>
              <w:sz w:val="28"/>
              <w:szCs w:val="28"/>
              <w:rtl/>
            </w:rPr>
          </w:pPr>
        </w:p>
      </w:tc>
      <w:tc>
        <w:tcPr>
          <w:tcW w:w="5546" w:type="dxa"/>
          <w:shd w:val="clear" w:color="auto" w:fill="auto"/>
          <w:vAlign w:val="center"/>
        </w:tcPr>
        <w:p w:rsidR="005C4F28" w:rsidRPr="002C02F7" w:rsidRDefault="005C4F28" w:rsidP="00BC2D33">
          <w:pPr>
            <w:spacing w:line="440" w:lineRule="exact"/>
            <w:jc w:val="center"/>
            <w:rPr>
              <w:b/>
              <w:bCs/>
              <w:color w:val="7030A0"/>
              <w:sz w:val="28"/>
              <w:szCs w:val="28"/>
              <w:rtl/>
            </w:rPr>
          </w:pPr>
          <w:r w:rsidRPr="00FC4612">
            <w:rPr>
              <w:rFonts w:cs="Hesham Bold"/>
              <w:b/>
              <w:bCs/>
              <w:color w:val="7030A0"/>
              <w:sz w:val="28"/>
              <w:szCs w:val="28"/>
            </w:rPr>
            <w:t>English Language dept.</w:t>
          </w:r>
        </w:p>
      </w:tc>
    </w:tr>
  </w:tbl>
  <w:p w:rsidR="005C4F28" w:rsidRDefault="005C4F28" w:rsidP="005C4F28">
    <w:pPr>
      <w:pStyle w:val="a3"/>
      <w:rPr>
        <w:rtl/>
      </w:rPr>
    </w:pPr>
  </w:p>
  <w:p w:rsidR="005C4F28" w:rsidRDefault="005C4F28" w:rsidP="005C4F28">
    <w:pPr>
      <w:pStyle w:val="a3"/>
    </w:pPr>
  </w:p>
  <w:p w:rsidR="005C4F28" w:rsidRDefault="005C4F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D2"/>
    <w:rsid w:val="00236C24"/>
    <w:rsid w:val="00470E4C"/>
    <w:rsid w:val="00592ECC"/>
    <w:rsid w:val="005C4F28"/>
    <w:rsid w:val="008E56B1"/>
    <w:rsid w:val="00943FFB"/>
    <w:rsid w:val="009E10F9"/>
    <w:rsid w:val="009F5478"/>
    <w:rsid w:val="009F6697"/>
    <w:rsid w:val="00AA5CD2"/>
    <w:rsid w:val="00B6475E"/>
    <w:rsid w:val="00B839D8"/>
    <w:rsid w:val="00B8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5C4F28"/>
    <w:pPr>
      <w:keepNext/>
      <w:bidi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5C4F28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Char"/>
    <w:uiPriority w:val="99"/>
    <w:rsid w:val="005C4F28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5C4F28"/>
    <w:rPr>
      <w:sz w:val="24"/>
      <w:szCs w:val="24"/>
    </w:rPr>
  </w:style>
  <w:style w:type="paragraph" w:styleId="a4">
    <w:name w:val="footer"/>
    <w:basedOn w:val="a"/>
    <w:link w:val="Char0"/>
    <w:rsid w:val="005C4F28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rsid w:val="005C4F28"/>
    <w:rPr>
      <w:sz w:val="24"/>
      <w:szCs w:val="24"/>
    </w:rPr>
  </w:style>
  <w:style w:type="paragraph" w:styleId="a5">
    <w:name w:val="Balloon Text"/>
    <w:basedOn w:val="a"/>
    <w:link w:val="Char1"/>
    <w:rsid w:val="005C4F2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5C4F28"/>
    <w:rPr>
      <w:rFonts w:ascii="Tahoma" w:hAnsi="Tahoma" w:cs="Tahoma"/>
      <w:sz w:val="16"/>
      <w:szCs w:val="16"/>
    </w:rPr>
  </w:style>
  <w:style w:type="character" w:customStyle="1" w:styleId="Char10">
    <w:name w:val="رأس الصفحة Char1"/>
    <w:rsid w:val="005C4F28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5C4F28"/>
    <w:pPr>
      <w:keepNext/>
      <w:bidi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5C4F28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Char"/>
    <w:uiPriority w:val="99"/>
    <w:rsid w:val="005C4F28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5C4F28"/>
    <w:rPr>
      <w:sz w:val="24"/>
      <w:szCs w:val="24"/>
    </w:rPr>
  </w:style>
  <w:style w:type="paragraph" w:styleId="a4">
    <w:name w:val="footer"/>
    <w:basedOn w:val="a"/>
    <w:link w:val="Char0"/>
    <w:rsid w:val="005C4F28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rsid w:val="005C4F28"/>
    <w:rPr>
      <w:sz w:val="24"/>
      <w:szCs w:val="24"/>
    </w:rPr>
  </w:style>
  <w:style w:type="paragraph" w:styleId="a5">
    <w:name w:val="Balloon Text"/>
    <w:basedOn w:val="a"/>
    <w:link w:val="Char1"/>
    <w:rsid w:val="005C4F2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5C4F28"/>
    <w:rPr>
      <w:rFonts w:ascii="Tahoma" w:hAnsi="Tahoma" w:cs="Tahoma"/>
      <w:sz w:val="16"/>
      <w:szCs w:val="16"/>
    </w:rPr>
  </w:style>
  <w:style w:type="character" w:customStyle="1" w:styleId="Char10">
    <w:name w:val="رأس الصفحة Char1"/>
    <w:rsid w:val="005C4F28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\Desktop\&#1575;&#1587;&#1578;&#1576;&#1575;&#1606;&#1577;%20&#1578;&#1602;&#1608;&#1610;&#1605;%20&#1582;&#1576;&#1585;&#1577;%20&#1575;&#1604;&#1591;&#1575;&#1604;&#157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\Downloads\&#1575;&#1587;&#1578;&#1576;&#1575;&#1606;&#1577;%20&#1578;&#1602;&#1608;&#1610;&#1605;%20&#1575;&#1604;&#1576;&#1585;&#1606;&#1575;&#1605;&#1580;%20&#1575;%20&#1604;&#1601;&#1589;&#1604;%20&#1575;&#1604;&#1579;&#1575;&#1606;&#1610;%201433-143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 sz="16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SA" sz="1600" b="1" i="0" baseline="0">
                <a:solidFill>
                  <a:schemeClr val="dk1"/>
                </a:solidFill>
                <a:effectLst/>
                <a:latin typeface="+mn-lt"/>
                <a:ea typeface="+mn-ea"/>
                <a:cs typeface="Hesham Bold" pitchFamily="2" charset="-78"/>
              </a:rPr>
              <a:t> احصائية تقويم خبرة الطالب</a:t>
            </a:r>
            <a:r>
              <a:rPr lang="en-US" sz="1600" b="1" i="0" baseline="0">
                <a:solidFill>
                  <a:schemeClr val="dk1"/>
                </a:solidFill>
                <a:effectLst/>
                <a:latin typeface="+mn-lt"/>
                <a:ea typeface="+mn-ea"/>
                <a:cs typeface="Hesham Bold" pitchFamily="2" charset="-78"/>
              </a:rPr>
              <a:t> </a:t>
            </a:r>
            <a:r>
              <a:rPr lang="ar-SA" sz="1600" b="1" i="0" baseline="0">
                <a:solidFill>
                  <a:schemeClr val="dk1"/>
                </a:solidFill>
                <a:effectLst/>
                <a:latin typeface="+mn-lt"/>
                <a:ea typeface="+mn-ea"/>
                <a:cs typeface="Hesham Bold" pitchFamily="2" charset="-78"/>
              </a:rPr>
              <a:t>قسم اللغة الانجليزية  الفصل الأول 1433– 1434 هـ</a:t>
            </a:r>
            <a:endParaRPr lang="en-US" sz="1600">
              <a:solidFill>
                <a:schemeClr val="tx1"/>
              </a:solidFill>
              <a:effectLst/>
              <a:cs typeface="Hesham Bold" pitchFamily="2" charset="-78"/>
            </a:endParaRPr>
          </a:p>
        </c:rich>
      </c:tx>
      <c:layout>
        <c:manualLayout>
          <c:xMode val="edge"/>
          <c:yMode val="edge"/>
          <c:x val="0.21636575801856547"/>
          <c:y val="8.0334310400980907E-2"/>
        </c:manualLayout>
      </c:layout>
      <c:overlay val="0"/>
      <c:spPr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c:spPr>
    </c:title>
    <c:autoTitleDeleted val="0"/>
    <c:view3D>
      <c:rotX val="15"/>
      <c:rotY val="340"/>
      <c:depthPercent val="10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0.20111601514356137"/>
          <c:y val="0.23241048988264726"/>
          <c:w val="0.70980381216741173"/>
          <c:h val="0.7128775624731785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ورقة1!$B$36</c:f>
              <c:strCache>
                <c:ptCount val="1"/>
                <c:pt idx="0">
                  <c:v>أوافق 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50000"/>
                    <a:satMod val="300000"/>
                  </a:schemeClr>
                </a:gs>
                <a:gs pos="35000">
                  <a:schemeClr val="accent5">
                    <a:tint val="37000"/>
                    <a:satMod val="300000"/>
                  </a:schemeClr>
                </a:gs>
                <a:gs pos="100000">
                  <a:schemeClr val="accent5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5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val>
            <c:numRef>
              <c:f>ورقة1!$B$37</c:f>
              <c:numCache>
                <c:formatCode>General</c:formatCode>
                <c:ptCount val="1"/>
                <c:pt idx="0">
                  <c:v>22.15</c:v>
                </c:pt>
              </c:numCache>
            </c:numRef>
          </c:val>
        </c:ser>
        <c:ser>
          <c:idx val="1"/>
          <c:order val="1"/>
          <c:tx>
            <c:strRef>
              <c:f>ورقة1!$C$36</c:f>
              <c:strCache>
                <c:ptCount val="1"/>
                <c:pt idx="0">
                  <c:v>صحيح</c:v>
                </c:pt>
              </c:strCache>
            </c:strRef>
          </c:tx>
          <c:invertIfNegative val="0"/>
          <c:val>
            <c:numRef>
              <c:f>ورقة1!$C$37</c:f>
              <c:numCache>
                <c:formatCode>General</c:formatCode>
                <c:ptCount val="1"/>
                <c:pt idx="0">
                  <c:v>11.45</c:v>
                </c:pt>
              </c:numCache>
            </c:numRef>
          </c:val>
        </c:ser>
        <c:ser>
          <c:idx val="2"/>
          <c:order val="2"/>
          <c:tx>
            <c:strRef>
              <c:f>ورقة1!$D$36</c:f>
              <c:strCache>
                <c:ptCount val="1"/>
                <c:pt idx="0">
                  <c:v>لا أوافق </c:v>
                </c:pt>
              </c:strCache>
            </c:strRef>
          </c:tx>
          <c:invertIfNegative val="0"/>
          <c:val>
            <c:numRef>
              <c:f>ورقة1!$D$37</c:f>
              <c:numCache>
                <c:formatCode>General</c:formatCode>
                <c:ptCount val="1"/>
                <c:pt idx="0">
                  <c:v>11.5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9774464"/>
        <c:axId val="189923712"/>
        <c:axId val="148424448"/>
      </c:bar3DChart>
      <c:catAx>
        <c:axId val="189774464"/>
        <c:scaling>
          <c:orientation val="maxMin"/>
        </c:scaling>
        <c:delete val="1"/>
        <c:axPos val="b"/>
        <c:numFmt formatCode="General" sourceLinked="1"/>
        <c:majorTickMark val="out"/>
        <c:minorTickMark val="none"/>
        <c:tickLblPos val="nextTo"/>
        <c:crossAx val="189923712"/>
        <c:crosses val="autoZero"/>
        <c:auto val="1"/>
        <c:lblAlgn val="ctr"/>
        <c:lblOffset val="100"/>
        <c:noMultiLvlLbl val="0"/>
      </c:catAx>
      <c:valAx>
        <c:axId val="189923712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chemeClr val="tx1"/>
                </a:solidFill>
              </a:defRPr>
            </a:pPr>
            <a:endParaRPr lang="ar-SA"/>
          </a:p>
        </c:txPr>
        <c:crossAx val="189774464"/>
        <c:crosses val="min"/>
        <c:crossBetween val="between"/>
      </c:valAx>
      <c:serAx>
        <c:axId val="1484244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002060"/>
                </a:solidFill>
                <a:cs typeface="Hesham Bold" pitchFamily="2" charset="-78"/>
              </a:defRPr>
            </a:pPr>
            <a:endParaRPr lang="ar-SA"/>
          </a:p>
        </c:txPr>
        <c:crossAx val="189923712"/>
        <c:crosses val="autoZero"/>
      </c:serAx>
      <c:spPr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c:spPr>
    </c:plotArea>
    <c:legend>
      <c:legendPos val="l"/>
      <c:overlay val="0"/>
      <c:txPr>
        <a:bodyPr/>
        <a:lstStyle/>
        <a:p>
          <a:pPr rtl="0">
            <a:defRPr/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Hesham Bold" pitchFamily="2" charset="-78"/>
              </a:defRPr>
            </a:pPr>
            <a:r>
              <a:rPr lang="ar-SA" sz="1200">
                <a:solidFill>
                  <a:schemeClr val="dk1"/>
                </a:solidFill>
                <a:latin typeface="+mn-lt"/>
                <a:ea typeface="+mn-ea"/>
                <a:cs typeface="Hesham Bold" pitchFamily="2" charset="-78"/>
              </a:rPr>
              <a:t>استبانة تقويم البرنامج  قسم اللغة الانجليزية  الفصل  الثاني  1433– 1434 هـ</a:t>
            </a:r>
            <a:endParaRPr lang="en-US" sz="1200">
              <a:cs typeface="Hesham Bold" pitchFamily="2" charset="-78"/>
            </a:endParaRPr>
          </a:p>
        </c:rich>
      </c:tx>
      <c:layout>
        <c:manualLayout>
          <c:xMode val="edge"/>
          <c:yMode val="edge"/>
          <c:x val="0.18417411058911751"/>
          <c:y val="2.2371364653243849E-2"/>
        </c:manualLayout>
      </c:layout>
      <c:overlay val="0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'[استبانة تقويم البرنامج ا لفصل الثاني 1433-1434.xlsx]ورقة1'!$B$38</c:f>
              <c:strCache>
                <c:ptCount val="1"/>
                <c:pt idx="0">
                  <c:v>أوافق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5"/>
              </a:solidFill>
              <a:ln w="38100" cap="flat" cmpd="sng" algn="ctr">
                <a:solidFill>
                  <a:schemeClr val="lt1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val>
            <c:numRef>
              <c:f>'[استبانة تقويم البرنامج ا لفصل الثاني 1433-1434.xlsx]ورقة1'!$B$39</c:f>
              <c:numCache>
                <c:formatCode>General</c:formatCode>
                <c:ptCount val="1"/>
                <c:pt idx="0">
                  <c:v>15.409090909090908</c:v>
                </c:pt>
              </c:numCache>
            </c:numRef>
          </c:val>
        </c:ser>
        <c:ser>
          <c:idx val="1"/>
          <c:order val="1"/>
          <c:tx>
            <c:strRef>
              <c:f>'[استبانة تقويم البرنامج ا لفصل الثاني 1433-1434.xlsx]ورقة1'!$C$38</c:f>
              <c:strCache>
                <c:ptCount val="1"/>
                <c:pt idx="0">
                  <c:v>صحيح</c:v>
                </c:pt>
              </c:strCache>
            </c:strRef>
          </c:tx>
          <c:invertIfNegative val="0"/>
          <c:val>
            <c:numRef>
              <c:f>'[استبانة تقويم البرنامج ا لفصل الثاني 1433-1434.xlsx]ورقة1'!$C$39</c:f>
              <c:numCache>
                <c:formatCode>General</c:formatCode>
                <c:ptCount val="1"/>
                <c:pt idx="0">
                  <c:v>10.727272727272727</c:v>
                </c:pt>
              </c:numCache>
            </c:numRef>
          </c:val>
        </c:ser>
        <c:ser>
          <c:idx val="2"/>
          <c:order val="2"/>
          <c:tx>
            <c:strRef>
              <c:f>'[استبانة تقويم البرنامج ا لفصل الثاني 1433-1434.xlsx]ورقة1'!$D$38</c:f>
              <c:strCache>
                <c:ptCount val="1"/>
                <c:pt idx="0">
                  <c:v>لا أوافق </c:v>
                </c:pt>
              </c:strCache>
            </c:strRef>
          </c:tx>
          <c:invertIfNegative val="0"/>
          <c:val>
            <c:numRef>
              <c:f>'[استبانة تقويم البرنامج ا لفصل الثاني 1433-1434.xlsx]ورقة1'!$D$39</c:f>
              <c:numCache>
                <c:formatCode>General</c:formatCode>
                <c:ptCount val="1"/>
                <c:pt idx="0">
                  <c:v>6.5909090909090908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9956096"/>
        <c:axId val="189957632"/>
        <c:axId val="0"/>
      </c:bar3DChart>
      <c:catAx>
        <c:axId val="189956096"/>
        <c:scaling>
          <c:orientation val="maxMin"/>
        </c:scaling>
        <c:delete val="1"/>
        <c:axPos val="b"/>
        <c:numFmt formatCode="General" sourceLinked="1"/>
        <c:majorTickMark val="out"/>
        <c:minorTickMark val="none"/>
        <c:tickLblPos val="nextTo"/>
        <c:crossAx val="189957632"/>
        <c:crosses val="autoZero"/>
        <c:auto val="1"/>
        <c:lblAlgn val="ctr"/>
        <c:lblOffset val="100"/>
        <c:noMultiLvlLbl val="0"/>
      </c:catAx>
      <c:valAx>
        <c:axId val="189957632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cs typeface="Hesham Bold" pitchFamily="2" charset="-78"/>
              </a:defRPr>
            </a:pPr>
            <a:endParaRPr lang="ar-SA"/>
          </a:p>
        </c:txPr>
        <c:crossAx val="189956096"/>
        <c:crosses val="min"/>
        <c:crossBetween val="between"/>
      </c:valAx>
      <c:spPr>
        <a:noFill/>
        <a:ln w="25400">
          <a:noFill/>
        </a:ln>
      </c:spPr>
    </c:plotArea>
    <c:legend>
      <c:legendPos val="l"/>
      <c:overlay val="0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  <c:txPr>
        <a:bodyPr/>
        <a:lstStyle/>
        <a:p>
          <a:pPr rtl="0">
            <a:defRPr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gradFill rotWithShape="1">
      <a:gsLst>
        <a:gs pos="0">
          <a:schemeClr val="accent2">
            <a:tint val="50000"/>
            <a:satMod val="300000"/>
          </a:schemeClr>
        </a:gs>
        <a:gs pos="35000">
          <a:schemeClr val="accent2">
            <a:tint val="37000"/>
            <a:satMod val="300000"/>
          </a:schemeClr>
        </a:gs>
        <a:gs pos="100000">
          <a:schemeClr val="accent2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2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4</cp:revision>
  <dcterms:created xsi:type="dcterms:W3CDTF">2013-11-29T01:32:00Z</dcterms:created>
  <dcterms:modified xsi:type="dcterms:W3CDTF">2015-04-16T18:19:00Z</dcterms:modified>
</cp:coreProperties>
</file>