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bookmarkStart w:id="0" w:name="_GoBack"/>
      <w:bookmarkEnd w:id="0"/>
      <w:r w:rsidRPr="00DA49D7">
        <w:rPr>
          <w:rFonts w:ascii="Calibri" w:hAnsi="Calibri" w:cs="Calibri"/>
          <w:kern w:val="24"/>
          <w:sz w:val="56"/>
          <w:szCs w:val="56"/>
        </w:rPr>
        <w:t>Upper respiratory tract infections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Pharyngitis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 Pharyngitis is an acute infection of the oropharynx or nasopharynx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60-70% pharyngitis is viral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Streptococcus sore throat(phyringitis)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Streptococcus pyogenes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Gram +ve cocci in chains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Group A streptococcus in lance field grouping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Beta hemolytic on blood agar plate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Catalase negative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   Common symptoms include fever, sore throat, and enlarged lymph nodes. It is the cause of 37% of sore throats among children and 5-15% in adults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Spread by direct person-to-person contact,  via droplets of saliva or nasal secretions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Virulence factors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Streptococcus pyogenes has number of virulence factors that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Evade or overcome the host immune response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M-protein (antiphagocytic)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Cell wall peptidoglycan and lipoteichoic acid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Streptolysin O&amp; S (destroy RBCs and WBCs)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Invade or make the organism rapidly tunnel through the host tissue;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most important being hyluronidase also known as spreading factor(destroy hyluronic acid in tissue)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Streptokinase that desroy fibrin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Toxin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Certain strains produce pyrogenic toxin  seen in scarlet fever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Streptococal sore throat complications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Local complications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44"/>
          <w:szCs w:val="44"/>
        </w:rPr>
      </w:pPr>
      <w:r w:rsidRPr="00DA49D7">
        <w:rPr>
          <w:rFonts w:ascii="Andalus" w:hAnsi="Times New Roman" w:cs="Andalus"/>
          <w:kern w:val="24"/>
          <w:sz w:val="44"/>
          <w:szCs w:val="44"/>
        </w:rPr>
        <w:t>Acute otitis media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44"/>
          <w:szCs w:val="44"/>
        </w:rPr>
      </w:pPr>
      <w:r w:rsidRPr="00DA49D7">
        <w:rPr>
          <w:rFonts w:ascii="Andalus" w:hAnsi="Times New Roman" w:cs="Andalus"/>
          <w:kern w:val="24"/>
          <w:sz w:val="44"/>
          <w:szCs w:val="44"/>
        </w:rPr>
        <w:t>Acute mastoiditis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ndalus" w:hAnsi="Times New Roman" w:cs="Andalus"/>
          <w:kern w:val="24"/>
          <w:sz w:val="44"/>
          <w:szCs w:val="44"/>
        </w:rPr>
      </w:pPr>
      <w:r w:rsidRPr="00DA49D7">
        <w:rPr>
          <w:rFonts w:ascii="Andalus" w:hAnsi="Times New Roman" w:cs="Andalus"/>
          <w:kern w:val="24"/>
          <w:sz w:val="44"/>
          <w:szCs w:val="44"/>
        </w:rPr>
        <w:t>Acute peri-tonsillitis (Quinsy)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Andalus" w:hAnsi="Times New Roman" w:cs="Andalus"/>
          <w:kern w:val="24"/>
          <w:sz w:val="44"/>
          <w:szCs w:val="44"/>
        </w:rPr>
        <w:t>Scarlet fever (Erythrogenic toxin A)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Scarlet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Scarlet fever – scarlatina –  caused by 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Streptococcus pyogenes </w:t>
      </w:r>
      <w:r w:rsidRPr="00DA49D7">
        <w:rPr>
          <w:rFonts w:ascii="Calibri" w:hAnsi="Calibri" w:cs="Calibri"/>
          <w:kern w:val="24"/>
          <w:sz w:val="56"/>
          <w:szCs w:val="56"/>
        </w:rPr>
        <w:t>strains producing pyrogenic (erythrogenic )toxin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Common Symptoms of Scarlet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very red, sore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fever (101° F or above)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A red rash with a sandpaper feel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Rash is intensified in underarm, elbow and groin creases forming lines called patia lines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whitish coating on the tongue or back of the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"strawberry" tongue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Enlarged lymph nodes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Circumoral pallor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Scarlet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Scarlet fever – scarlatina –  caused by 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Streptococcus pyogenes </w:t>
      </w:r>
      <w:r w:rsidRPr="00DA49D7">
        <w:rPr>
          <w:rFonts w:ascii="Calibri" w:hAnsi="Calibri" w:cs="Calibri"/>
          <w:kern w:val="24"/>
          <w:sz w:val="56"/>
          <w:szCs w:val="56"/>
        </w:rPr>
        <w:t>strains producing pyrogenic(erythrogenic )toxin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Common Symptoms of Scarlet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very red, sore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fever (101° F or above)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red rash with a sandpaper feel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Rash is intensified in underarm, elbow and groin creases forming lines called patia lines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whitish coating on the tongue or back of the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"strawberry" tongue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Enlarged lymph nodes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Circumoral pallor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Scarlet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Scarlet fever – scarlatina –  caused by 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Streptococcus pyogenes </w:t>
      </w:r>
      <w:r w:rsidRPr="00DA49D7">
        <w:rPr>
          <w:rFonts w:ascii="Calibri" w:hAnsi="Calibri" w:cs="Calibri"/>
          <w:kern w:val="24"/>
          <w:sz w:val="56"/>
          <w:szCs w:val="56"/>
        </w:rPr>
        <w:t>strains producing pyrogenic(erythrogenic )toxin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Common Symptoms of Scarlet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very red, sore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fever (101° F or above)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red rash with a sandpaper feel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Rash is intensified in underarm, elbow and groin creases forming lines called patia lines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whitish coating on the tongue or back of the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"strawberry" tongue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Enlarged lymph nodes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Circumoral pallor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Scarlet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Scarlet fever – scarlatina –  caused by 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Streptococcus pyogenes </w:t>
      </w:r>
      <w:r w:rsidRPr="00DA49D7">
        <w:rPr>
          <w:rFonts w:ascii="Calibri" w:hAnsi="Calibri" w:cs="Calibri"/>
          <w:kern w:val="24"/>
          <w:sz w:val="56"/>
          <w:szCs w:val="56"/>
        </w:rPr>
        <w:t>strains producing pyrogenic(erythrogenic) 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Common Symptoms of Scarlet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very red, sore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fever (101° F or above)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red rash with a sandpaper feel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Rash is intensified in underarm, elbow and groin creases forming lines called patia lines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whitish coating on the tongue or back of the throat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"strawberry" tongue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Enlarged lymph nodes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Circumoral pallor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Complications of  by streptococcus pyogenes infections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 Immune mediated complications of  streptococcal sore throat and skin infections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Acute glomerulonephritis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It occurs as a complication of untreated streptococcus sore throat ( a few weeks later)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Rheumatic fever is immune mediated ;a phenomenon known as cross reacting antibodies/ molecular mimicry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 M-protein of certain strain of streptococccus pyogenes are similar to the antigens in heart, joints,and brain tissue</w:t>
      </w:r>
      <w:r w:rsidRPr="00DA49D7">
        <w:rPr>
          <w:rFonts w:ascii="Calibri" w:hAnsi="Calibri" w:cs="Calibri"/>
          <w:kern w:val="24"/>
          <w:sz w:val="56"/>
          <w:szCs w:val="56"/>
        </w:rPr>
        <w:sym w:font="Wingdings" w:char="F0E0"/>
      </w:r>
      <w:r w:rsidRPr="00DA49D7">
        <w:rPr>
          <w:rFonts w:ascii="Calibri" w:hAnsi="Calibri" w:cs="Calibri"/>
          <w:kern w:val="24"/>
          <w:sz w:val="56"/>
          <w:szCs w:val="56"/>
        </w:rPr>
        <w:t>antibody produced against  these M proteins cross react with self antigens</w:t>
      </w:r>
      <w:r w:rsidRPr="00DA49D7">
        <w:rPr>
          <w:rFonts w:ascii="Calibri" w:hAnsi="Calibri" w:cs="Calibri"/>
          <w:kern w:val="24"/>
          <w:sz w:val="56"/>
          <w:szCs w:val="56"/>
        </w:rPr>
        <w:t>autoimmunity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 type II hpersensitivity reaction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Carditis (inflammation of heart)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Carditis (inflammation of heart) manifest as chest pain, congestive heart </w:t>
      </w:r>
      <w:proofErr w:type="gramStart"/>
      <w:r w:rsidRPr="00DA49D7">
        <w:rPr>
          <w:rFonts w:ascii="Calibri" w:hAnsi="Calibri" w:cs="Calibri"/>
          <w:kern w:val="24"/>
          <w:sz w:val="48"/>
          <w:szCs w:val="48"/>
        </w:rPr>
        <w:t>failure ,arrhythmias</w:t>
      </w:r>
      <w:proofErr w:type="gramEnd"/>
      <w:r w:rsidRPr="00DA49D7">
        <w:rPr>
          <w:rFonts w:ascii="Calibri" w:hAnsi="Calibri" w:cs="Calibri"/>
          <w:kern w:val="24"/>
          <w:sz w:val="48"/>
          <w:szCs w:val="48"/>
        </w:rPr>
        <w:t xml:space="preserve"> or a new heart murmur.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Carditis (inflammation of heart)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Carditis (inflammation of heart)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 rapid, uncontrolled jerking movements affecting the face, hands and feet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Carditis (inflammation of heart)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Rheumatic fever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major menifestations of rheumatic 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Fever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Carditis (inflammation of heart)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Migratory polyarthritis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Sydenham's chorea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 rash known as erythema marginatum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Subcutaneous nodules (rubbery nodules just under the skin)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Post streptococcal glomerulonephritis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Follows few weeks of a skin infection by certain streptococcus pyogenes strains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Mechanism: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1.streptococcal antigen and antibody against it combine to form antigen-antibody complex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2.this immune complex is deposited on the glomerular membrane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3.this deposition activates an immune mediated damage to the glomerular membrane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 type III hypersensitivity reaction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Post streptococcal glomerulonephritis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Important clinical features of PSGN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Periorbital swelling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 Swelling of the feet, ankles, hands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Hypertension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Rust colored urine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Decreased urine output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Streptococcus pyogenes lab diagnosis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Microscopy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Culture/sensitivity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Biochemical tests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Lancefield grouping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Rapid antigen detection(strep sore throat)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Serological tests 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Specimens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Depending upon the site of infection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Throat swab(sore throat)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Microscopy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On gram staining they appear as gram +ve cocci in chains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Culture &amp; sensitivity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Blood agar is medium of choice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Colonies are beta hemolyti(clear zone of hemolysis around colonies),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Bacitracin disc is applied to the media to differentiate between streptococcus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pyogenes(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>group A strep) and streptococcus agalactiae(group B strep) as both are beta hemolytic.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Strep pyogenes sensitive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Strep agalactiae resistant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Biochemical tests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Catalase test: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Catalase negative; 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Mix colony suspension with hydrogen peroxide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 xml:space="preserve">Bubbles </w:t>
      </w:r>
      <w:r w:rsidRPr="00DA49D7">
        <w:rPr>
          <w:rFonts w:ascii="Calibri" w:hAnsi="Calibri" w:cs="Calibri"/>
          <w:kern w:val="24"/>
          <w:sz w:val="40"/>
          <w:szCs w:val="40"/>
        </w:rPr>
        <w:sym w:font="Wingdings" w:char="F0E0"/>
      </w:r>
      <w:r w:rsidRPr="00DA49D7">
        <w:rPr>
          <w:rFonts w:ascii="Calibri" w:hAnsi="Calibri" w:cs="Calibri"/>
          <w:kern w:val="24"/>
          <w:sz w:val="40"/>
          <w:szCs w:val="40"/>
        </w:rPr>
        <w:t>positive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 xml:space="preserve">No bubbles </w:t>
      </w:r>
      <w:r w:rsidRPr="00DA49D7">
        <w:rPr>
          <w:rFonts w:ascii="Calibri" w:hAnsi="Calibri" w:cs="Calibri"/>
          <w:kern w:val="24"/>
          <w:sz w:val="40"/>
          <w:szCs w:val="40"/>
        </w:rPr>
        <w:t>negative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Lancefield grouping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Agglutination test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Based on presence of C carbohydrate in cell wall  which is different in different streptococcal species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Six groups(A,B,C,D,E,F) of streptococcus; Strep pyogenes is group A on lancefield grouping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Mixing colony suspension with respective antisera(antibodies) result in agglutination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Presence of agglutination (fine clumps) is positive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Rapid strep test(strep sore throat)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A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Rapid  strepTest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 is a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rapid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chromatographic immunoassay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A throat swab is collected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Placed in a holder on the strip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If Group A Strep antigen is present in the sample, it will form a colored lines indicating antigen antibody reaction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Serological test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Anti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streptolysin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O (ASO) titre is a measure of the serum levels of antistreptolysin O antibodies used for the diagnosis of a streptococcal infection or indicate a past exposure to streptococci.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The ASOT helps direct antimicrobial treatment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and  to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assist in the diagnosis of scarlet fever, </w:t>
      </w: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rheumatic fever, and post infectious glomerulonephritis.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 positive test usually is &gt;200 units/mL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It is done by serological methods like latex agglutination or ELISA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Treatment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Good news</w:t>
      </w:r>
      <w:r w:rsidRPr="00DA49D7">
        <w:rPr>
          <w:rFonts w:ascii="Calibri" w:hAnsi="Calibri" w:cs="Calibri"/>
          <w:kern w:val="24"/>
          <w:sz w:val="56"/>
          <w:szCs w:val="56"/>
        </w:rPr>
        <w:sym w:font="Wingdings" w:char="F0E0"/>
      </w:r>
      <w:r w:rsidRPr="00DA49D7">
        <w:rPr>
          <w:rFonts w:ascii="Calibri" w:hAnsi="Calibri" w:cs="Calibri"/>
          <w:kern w:val="24"/>
          <w:sz w:val="56"/>
          <w:szCs w:val="56"/>
        </w:rPr>
        <w:t>Penicillins are the main stay of therapy with no resistance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Therapy  may be directed by antibiotic sensitivity report by the lab in penicillin allergic patients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Other options include macrolides, clindamycin, quinolones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,etc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>.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Diphtheriae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Diphtheria is a nasopharyngeal  infection caused by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Corynebacterium diphtheriae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Gram +ve rods ,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 Nonsporing, aerobe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56"/>
          <w:szCs w:val="56"/>
        </w:rPr>
      </w:pP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C. diphtheriae 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organisms have a characteristic club-shaped bacillary appearance and typically form clusters of parallel rays (palisades) that are referred to as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Chinese letter appearance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Epidemiology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is transmitted via the aerosol route, primarily during close contact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Diphtheria once was a major cause of illness and death among children </w:t>
      </w: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but widespread vaccination has dramatically reduced its incidence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Diphtheria is a serious disease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Virulance factors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displays nontoxigenic (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tox</w:t>
      </w:r>
      <w:r w:rsidRPr="00DA49D7">
        <w:rPr>
          <w:rFonts w:ascii="Calibri" w:hAnsi="Calibri" w:cs="Calibri"/>
          <w:kern w:val="24"/>
          <w:sz w:val="56"/>
          <w:szCs w:val="56"/>
          <w:vertAlign w:val="superscript"/>
        </w:rPr>
        <w:t>–</w:t>
      </w:r>
      <w:r w:rsidRPr="00DA49D7">
        <w:rPr>
          <w:rFonts w:ascii="Calibri" w:hAnsi="Calibri" w:cs="Calibri"/>
          <w:kern w:val="24"/>
          <w:sz w:val="56"/>
          <w:szCs w:val="56"/>
        </w:rPr>
        <w:t>) or toxigenic (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tox</w:t>
      </w:r>
      <w:r w:rsidRPr="00DA49D7">
        <w:rPr>
          <w:rFonts w:ascii="Calibri" w:hAnsi="Calibri" w:cs="Calibri"/>
          <w:kern w:val="24"/>
          <w:sz w:val="56"/>
          <w:szCs w:val="56"/>
          <w:vertAlign w:val="superscript"/>
        </w:rPr>
        <w:t>+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) types.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A family of viruses called corynebacteriophages are responsible for toxigenic conversion of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tox</w:t>
      </w:r>
      <w:r w:rsidRPr="00DA49D7">
        <w:rPr>
          <w:rFonts w:ascii="Calibri" w:hAnsi="Calibri" w:cs="Calibri"/>
          <w:kern w:val="24"/>
          <w:sz w:val="56"/>
          <w:szCs w:val="56"/>
          <w:vertAlign w:val="superscript"/>
        </w:rPr>
        <w:t>–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to the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tox</w:t>
      </w:r>
      <w:r w:rsidRPr="00DA49D7">
        <w:rPr>
          <w:rFonts w:ascii="Calibri" w:hAnsi="Calibri" w:cs="Calibri"/>
          <w:kern w:val="24"/>
          <w:sz w:val="56"/>
          <w:szCs w:val="56"/>
          <w:vertAlign w:val="superscript"/>
        </w:rPr>
        <w:t>+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phenotype. A phenomenon known as lysogenic conversion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Toxigenic strains of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produce a protein toxin that causes formation of pseudomembranes in </w:t>
      </w: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 xml:space="preserve">the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pharynx  and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systemic toxicity, myocarditis, and polyneuropathy.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Diphtheria 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The protein exotoxin has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two  fragments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: the A fragment and the B fragment.The B fragment attaches to the cell and  A fragment enters into the host cell  resulting in irreversible inhibition of protein synthesis by ADP ribosylation of elongation factor 2. The eventual result is the death of the cell. </w:t>
      </w:r>
    </w:p>
    <w:p w:rsidR="00DA49D7" w:rsidRPr="00DA49D7" w:rsidRDefault="00DA49D7" w:rsidP="00DA49D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88"/>
          <w:szCs w:val="88"/>
        </w:rPr>
        <w:t>Respiratory Diphtheria</w:t>
      </w:r>
      <w:r w:rsidRPr="00DA49D7">
        <w:rPr>
          <w:rFonts w:ascii="Calibri" w:hAnsi="Calibri" w:cs="Calibri"/>
          <w:kern w:val="24"/>
          <w:sz w:val="48"/>
          <w:szCs w:val="48"/>
        </w:rPr>
        <w:br/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It is a nasopharyngeal infection by toxigenic strains of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Patient presents with fever and sore throat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Hall mark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of infection is the formation of mucosal ulcers with whitish coating called a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pseudomembrane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 in the nasopharynx comprising of dead tissue, fibrin, neutrophils etc.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initially white may turn grey or black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Tightly adherent (unlike strep sore throat exudate)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Diphtheria pseudomembrane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Complications of respiratory diphtheria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Local complications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Expanding pseudomembrane may compress the air way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Bull neck diphtheria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Systemic complications 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Occur few weeks into the disease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 Result from systemic absorption of toxin and manifest as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Myocaditis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Polyneuropathy</w:t>
      </w:r>
    </w:p>
    <w:p w:rsidR="00DA49D7" w:rsidRPr="00DA49D7" w:rsidRDefault="00DA49D7" w:rsidP="00DA49D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88"/>
          <w:szCs w:val="88"/>
        </w:rPr>
        <w:t>Bull neck diphtheria</w:t>
      </w:r>
      <w:r w:rsidRPr="00DA49D7">
        <w:rPr>
          <w:rFonts w:ascii="Calibri" w:hAnsi="Calibri" w:cs="Calibri"/>
          <w:kern w:val="24"/>
          <w:sz w:val="48"/>
          <w:szCs w:val="48"/>
        </w:rPr>
        <w:br/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A few patients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develop  "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>bull-neck" diphtheria, which results from massive edema of the submandibular and paratracheal region and is further characterized by foul breath, thick speech, and stridorous breathing.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Compromises breathing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Myocaritis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It is the inflammation of the heart muscle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Myocarditis manifests as cardiac arrhythmias or congestive heart failure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Results from action of toxin on the heart muscle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Polyneuropathy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Results from action of toxin on the nerves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Manifests as cranial,peripheral or autonomic nerve involvement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Symptoms are related to the type of nerves that are involved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Diplopia,dysphagia,facial  palsy etc(cranial nerves)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Sensorymotor distubances(peripheral nerves)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 xml:space="preserve"> tachycardia, hypotension, urinary retention(autonomic nerves)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Respiratory paralysis may occur requiring artificial ventilation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Recovery is a rule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Lab diagnosis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Microscopy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Culture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Biochemical tests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Toxin detection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Skin test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Microscopy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Gram staining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Albert staining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Specimen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Throat swab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Gram staining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Gram staining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Gram positive rods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Club shapeds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Albert stain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Albert stain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A special stain used to demonstrate the metachromatic granules formed in the </w:t>
      </w:r>
      <w:proofErr w:type="gramStart"/>
      <w:r w:rsidRPr="00DA49D7">
        <w:rPr>
          <w:rFonts w:ascii="Calibri" w:hAnsi="Calibri" w:cs="Calibri"/>
          <w:kern w:val="24"/>
          <w:sz w:val="48"/>
          <w:szCs w:val="48"/>
        </w:rPr>
        <w:t>polar regions</w:t>
      </w:r>
      <w:proofErr w:type="gramEnd"/>
      <w:r w:rsidRPr="00DA49D7">
        <w:rPr>
          <w:rFonts w:ascii="Calibri" w:hAnsi="Calibri" w:cs="Calibri"/>
          <w:kern w:val="24"/>
          <w:sz w:val="48"/>
          <w:szCs w:val="48"/>
        </w:rPr>
        <w:t>. The granules are called as polar granules, Babes Ernst Granules, Volutin granules, etc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Culture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i/>
          <w:iCs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Specimens are innoculated on selective media for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 xml:space="preserve">C. diphtheriae. </w:t>
      </w:r>
      <w:r w:rsidRPr="00DA49D7">
        <w:rPr>
          <w:rFonts w:ascii="Calibri" w:hAnsi="Calibri" w:cs="Calibri"/>
          <w:kern w:val="24"/>
          <w:sz w:val="56"/>
          <w:szCs w:val="56"/>
        </w:rPr>
        <w:t xml:space="preserve">These  media have ingredients to supress the growth of normal flora and selectively growing </w:t>
      </w:r>
      <w:r w:rsidRPr="00DA49D7">
        <w:rPr>
          <w:rFonts w:ascii="Calibri" w:hAnsi="Calibri" w:cs="Calibri"/>
          <w:i/>
          <w:iCs/>
          <w:kern w:val="24"/>
          <w:sz w:val="56"/>
          <w:szCs w:val="56"/>
        </w:rPr>
        <w:t>C. diphtheriae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Tellurite blood agar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lastRenderedPageBreak/>
        <w:t>gray to black colonies, with dark centers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Tinsdale agar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black colony with halo( because of  reduction of cysteine to H</w:t>
      </w:r>
      <w:r w:rsidRPr="00DA49D7">
        <w:rPr>
          <w:rFonts w:ascii="Calibri" w:hAnsi="Calibri" w:cs="Calibri"/>
          <w:kern w:val="24"/>
          <w:sz w:val="40"/>
          <w:szCs w:val="40"/>
          <w:vertAlign w:val="subscript"/>
        </w:rPr>
        <w:t>2</w:t>
      </w:r>
      <w:r w:rsidRPr="00DA49D7">
        <w:rPr>
          <w:rFonts w:ascii="Calibri" w:hAnsi="Calibri" w:cs="Calibri"/>
          <w:kern w:val="24"/>
          <w:sz w:val="40"/>
          <w:szCs w:val="40"/>
        </w:rPr>
        <w:t>S)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Loefflar serum slant: 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Enrichment of the organism,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Toxin detection(Elek’s test)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Elek’s Test: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b/>
          <w:bCs/>
          <w:kern w:val="24"/>
          <w:sz w:val="48"/>
          <w:szCs w:val="48"/>
        </w:rPr>
        <w:t>Principle</w:t>
      </w:r>
      <w:r w:rsidRPr="00DA49D7">
        <w:rPr>
          <w:rFonts w:ascii="Calibri" w:hAnsi="Calibri" w:cs="Calibri"/>
          <w:kern w:val="24"/>
          <w:sz w:val="48"/>
          <w:szCs w:val="48"/>
        </w:rPr>
        <w:t xml:space="preserve">: It is toxin/antitoxin reaction. Toxin production by </w:t>
      </w:r>
      <w:r w:rsidRPr="00DA49D7">
        <w:rPr>
          <w:rFonts w:ascii="Calibri" w:hAnsi="Calibri" w:cs="Calibri"/>
          <w:b/>
          <w:bCs/>
          <w:i/>
          <w:iCs/>
          <w:kern w:val="24"/>
          <w:sz w:val="48"/>
          <w:szCs w:val="48"/>
        </w:rPr>
        <w:t>C.diphtheriae</w:t>
      </w:r>
      <w:r w:rsidRPr="00DA49D7">
        <w:rPr>
          <w:rFonts w:ascii="Calibri" w:hAnsi="Calibri" w:cs="Calibri"/>
          <w:kern w:val="24"/>
          <w:sz w:val="48"/>
          <w:szCs w:val="48"/>
        </w:rPr>
        <w:t xml:space="preserve"> </w:t>
      </w:r>
      <w:proofErr w:type="gramStart"/>
      <w:r w:rsidRPr="00DA49D7">
        <w:rPr>
          <w:rFonts w:ascii="Calibri" w:hAnsi="Calibri" w:cs="Calibri"/>
          <w:kern w:val="24"/>
          <w:sz w:val="48"/>
          <w:szCs w:val="48"/>
        </w:rPr>
        <w:t>can be demonstrated</w:t>
      </w:r>
      <w:proofErr w:type="gramEnd"/>
      <w:r w:rsidRPr="00DA49D7">
        <w:rPr>
          <w:rFonts w:ascii="Calibri" w:hAnsi="Calibri" w:cs="Calibri"/>
          <w:kern w:val="24"/>
          <w:sz w:val="48"/>
          <w:szCs w:val="48"/>
        </w:rPr>
        <w:t xml:space="preserve"> by a precipitation between exotoxin and diphtheria antitoxin. 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Procedure: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A strip of filter paper impregnated with diphtheria antitoxin </w:t>
      </w:r>
      <w:proofErr w:type="gramStart"/>
      <w:r w:rsidRPr="00DA49D7">
        <w:rPr>
          <w:rFonts w:ascii="Calibri" w:hAnsi="Calibri" w:cs="Calibri"/>
          <w:kern w:val="24"/>
          <w:sz w:val="48"/>
          <w:szCs w:val="48"/>
        </w:rPr>
        <w:t>is placed</w:t>
      </w:r>
      <w:proofErr w:type="gramEnd"/>
      <w:r w:rsidRPr="00DA49D7">
        <w:rPr>
          <w:rFonts w:ascii="Calibri" w:hAnsi="Calibri" w:cs="Calibri"/>
          <w:kern w:val="24"/>
          <w:sz w:val="48"/>
          <w:szCs w:val="48"/>
        </w:rPr>
        <w:t xml:space="preserve"> on the surface of serum agar. The organism </w:t>
      </w:r>
      <w:proofErr w:type="gramStart"/>
      <w:r w:rsidRPr="00DA49D7">
        <w:rPr>
          <w:rFonts w:ascii="Calibri" w:hAnsi="Calibri" w:cs="Calibri"/>
          <w:kern w:val="24"/>
          <w:sz w:val="48"/>
          <w:szCs w:val="48"/>
        </w:rPr>
        <w:t>is streaked</w:t>
      </w:r>
      <w:proofErr w:type="gramEnd"/>
      <w:r w:rsidRPr="00DA49D7">
        <w:rPr>
          <w:rFonts w:ascii="Calibri" w:hAnsi="Calibri" w:cs="Calibri"/>
          <w:kern w:val="24"/>
          <w:sz w:val="48"/>
          <w:szCs w:val="48"/>
        </w:rPr>
        <w:t xml:space="preserve"> at right angels to the filter paper. Incubate the plate at 37C for 24 hrs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lastRenderedPageBreak/>
        <w:t>Results: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 the antitoxin diffusing from filter paper strip and the toxin  produced by toxigenic strains produce  precipitation lines 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Toxin detection (animal pathogenicity)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Organism grown in culture is injected subcuatneously in two guinea pigs.One guinea pig is protected by injecting diphtheria antitoxin 24 hrs before.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If the strain is virulent the unprotected guinea pig dies within 4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days .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The protected one remains healthy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Toxin detection (PCR)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lastRenderedPageBreak/>
        <w:t>Toxigenic strains can be detected by polymerase chain reaction which targets the gene encoding the toxin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Treatment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Patients in whom diphtheria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is suspected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should be hospitalized in respiratory isolation rooms.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Treatment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Antitoxin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 xml:space="preserve">Prompt administration of diphtheria antitoxin is critical in the management of respiratory diphtheria. The antitoxin—a horse antiserum—is effective in reducing the complications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Antibiotic therapy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t>Antibiotics are used to prevent transmission to other susceptible contacts</w:t>
      </w:r>
    </w:p>
    <w:p w:rsidR="00DA49D7" w:rsidRPr="00DA49D7" w:rsidRDefault="00DA49D7" w:rsidP="00DA49D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48"/>
          <w:szCs w:val="48"/>
        </w:rPr>
      </w:pPr>
      <w:r w:rsidRPr="00DA49D7">
        <w:rPr>
          <w:rFonts w:ascii="Calibri" w:hAnsi="Calibri" w:cs="Calibri"/>
          <w:kern w:val="24"/>
          <w:sz w:val="48"/>
          <w:szCs w:val="48"/>
        </w:rPr>
        <w:lastRenderedPageBreak/>
        <w:t>Drug of choice is either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Penicillins</w:t>
      </w:r>
    </w:p>
    <w:p w:rsidR="00DA49D7" w:rsidRPr="00DA49D7" w:rsidRDefault="00DA49D7" w:rsidP="00DA49D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0"/>
          <w:szCs w:val="40"/>
        </w:rPr>
      </w:pPr>
      <w:r w:rsidRPr="00DA49D7">
        <w:rPr>
          <w:rFonts w:ascii="Calibri" w:hAnsi="Calibri" w:cs="Calibri"/>
          <w:kern w:val="24"/>
          <w:sz w:val="40"/>
          <w:szCs w:val="40"/>
        </w:rPr>
        <w:t>erythromycin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>Prevention of the disease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Sustained campaigns for vaccination of children is are responsible for the exceedingly low incidence of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diphtheria .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At present, diphtheria toxoid vaccine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is coadministered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with tetanus and acellular pertussis vaccine. Known as DTaP</w:t>
      </w:r>
    </w:p>
    <w:p w:rsidR="00DA49D7" w:rsidRPr="00DA49D7" w:rsidRDefault="00DA49D7" w:rsidP="00DA49D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6"/>
          <w:szCs w:val="56"/>
        </w:rPr>
      </w:pPr>
      <w:r w:rsidRPr="00DA49D7">
        <w:rPr>
          <w:rFonts w:ascii="Calibri" w:hAnsi="Calibri" w:cs="Calibri"/>
          <w:kern w:val="24"/>
          <w:sz w:val="56"/>
          <w:szCs w:val="56"/>
        </w:rPr>
        <w:t xml:space="preserve">Children should get </w:t>
      </w:r>
      <w:proofErr w:type="gramStart"/>
      <w:r w:rsidRPr="00DA49D7">
        <w:rPr>
          <w:rFonts w:ascii="Calibri" w:hAnsi="Calibri" w:cs="Calibri"/>
          <w:kern w:val="24"/>
          <w:sz w:val="56"/>
          <w:szCs w:val="56"/>
        </w:rPr>
        <w:t>5</w:t>
      </w:r>
      <w:proofErr w:type="gramEnd"/>
      <w:r w:rsidRPr="00DA49D7">
        <w:rPr>
          <w:rFonts w:ascii="Calibri" w:hAnsi="Calibri" w:cs="Calibri"/>
          <w:kern w:val="24"/>
          <w:sz w:val="56"/>
          <w:szCs w:val="56"/>
        </w:rPr>
        <w:t xml:space="preserve"> doses of </w:t>
      </w:r>
      <w:r w:rsidRPr="00DA49D7">
        <w:rPr>
          <w:rFonts w:ascii="Calibri" w:hAnsi="Calibri" w:cs="Calibri"/>
          <w:b/>
          <w:bCs/>
          <w:kern w:val="24"/>
          <w:sz w:val="56"/>
          <w:szCs w:val="56"/>
        </w:rPr>
        <w:t>DTaP</w:t>
      </w:r>
      <w:r w:rsidRPr="00DA49D7">
        <w:rPr>
          <w:rFonts w:ascii="Calibri" w:hAnsi="Calibri" w:cs="Calibri"/>
          <w:kern w:val="24"/>
          <w:sz w:val="56"/>
          <w:szCs w:val="56"/>
        </w:rPr>
        <w:t>, one dose at each of the following ages: 2, 4, 6, and 15-18 months and 4-6 years.</w:t>
      </w:r>
    </w:p>
    <w:p w:rsidR="00DA49D7" w:rsidRPr="00DA49D7" w:rsidRDefault="00DA49D7" w:rsidP="00DA49D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56"/>
          <w:szCs w:val="56"/>
          <w:rtl/>
        </w:rPr>
      </w:pPr>
    </w:p>
    <w:p w:rsidR="004B34E4" w:rsidRPr="00DA49D7" w:rsidRDefault="004B34E4">
      <w:pPr>
        <w:rPr>
          <w:rFonts w:hint="cs"/>
        </w:rPr>
      </w:pPr>
    </w:p>
    <w:sectPr w:rsidR="004B34E4" w:rsidRPr="00DA49D7" w:rsidSect="001321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1AE4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D7"/>
    <w:rsid w:val="004B34E4"/>
    <w:rsid w:val="00DA49D7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3EADC-7D38-4D6D-AFA0-A7EBE2CB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2015-03-31T10:48:00Z</dcterms:created>
  <dcterms:modified xsi:type="dcterms:W3CDTF">2015-03-31T10:48:00Z</dcterms:modified>
</cp:coreProperties>
</file>