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 xml:space="preserve">Deanship has set a group of training programs aiming to elevate the level of professionalism of employees in Almajmaah University libraries. The followings are some of the training programs: 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>·         Libraries system KOHA that is applied in all Almajmaah University libraries. 1. Branch system (Lending)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>·         Comprehensive training course for developing skills of employees in Almajmaah University libraries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 xml:space="preserve">·         Workshop of Preparing employees in the university libraries for fighting information illiteracy. Information Literacy Training.  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>·         A workshop of the digital library and how to manage it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>·         A course of International Mark Rules – Automatically readable catalog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>·         A workshop of Electronic Information Services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 xml:space="preserve">·         A course of modern management of university libraries in the ear of information technology 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 xml:space="preserve">·         A course on institutions of digital information and how to utilize them 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 xml:space="preserve">·         Career loyalty 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>·         Digital libraries: Establishing and Using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 xml:space="preserve">·         Managing libraries websites on the internet 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 xml:space="preserve">·         A course in making clubs, groups, records, e-mails on the internet </w:t>
      </w:r>
    </w:p>
    <w:p w:rsidR="00E443D6" w:rsidRDefault="00E443D6" w:rsidP="00E443D6">
      <w:pPr>
        <w:pStyle w:val="en"/>
      </w:pPr>
      <w:r>
        <w:rPr>
          <w:rStyle w:val="Strong"/>
          <w:sz w:val="21"/>
          <w:szCs w:val="21"/>
        </w:rPr>
        <w:t>·         Search engines on the internet   </w:t>
      </w:r>
    </w:p>
    <w:p w:rsidR="00FB3036" w:rsidRDefault="00FB3036">
      <w:bookmarkStart w:id="0" w:name="_GoBack"/>
      <w:bookmarkEnd w:id="0"/>
    </w:p>
    <w:sectPr w:rsidR="00FB3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1"/>
    <w:rsid w:val="00044E91"/>
    <w:rsid w:val="00E443D6"/>
    <w:rsid w:val="00FB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342EB-BE5E-4F5F-8F13-BC097022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E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4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2015-04-08T06:06:00Z</dcterms:created>
  <dcterms:modified xsi:type="dcterms:W3CDTF">2015-04-08T06:06:00Z</dcterms:modified>
</cp:coreProperties>
</file>