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8E" w:rsidRDefault="000C018E">
      <w:pPr>
        <w:rPr>
          <w:rtl/>
        </w:rPr>
      </w:pPr>
      <w:bookmarkStart w:id="0" w:name="_GoBack"/>
      <w:bookmarkEnd w:id="0"/>
    </w:p>
    <w:p w:rsidR="00CD62AE" w:rsidRDefault="00CD62AE">
      <w:pPr>
        <w:rPr>
          <w:rtl/>
        </w:rPr>
      </w:pPr>
    </w:p>
    <w:p w:rsidR="00CD62AE" w:rsidRPr="00930D21" w:rsidRDefault="00CD62AE" w:rsidP="00CD62AE">
      <w:pPr>
        <w:bidi w:val="0"/>
        <w:jc w:val="center"/>
        <w:rPr>
          <w:rFonts w:asciiTheme="minorBidi" w:hAnsiTheme="minorBidi" w:cs="Fanan"/>
          <w:sz w:val="28"/>
          <w:szCs w:val="28"/>
        </w:rPr>
      </w:pPr>
    </w:p>
    <w:tbl>
      <w:tblPr>
        <w:tblStyle w:val="2"/>
        <w:bidiVisual/>
        <w:tblW w:w="0" w:type="auto"/>
        <w:jc w:val="center"/>
        <w:tblLook w:val="04A0"/>
      </w:tblPr>
      <w:tblGrid>
        <w:gridCol w:w="8522"/>
      </w:tblGrid>
      <w:tr w:rsidR="00CD62AE" w:rsidRPr="00930D21" w:rsidTr="007F7FA8">
        <w:trPr>
          <w:jc w:val="center"/>
        </w:trPr>
        <w:tc>
          <w:tcPr>
            <w:tcW w:w="8522" w:type="dxa"/>
          </w:tcPr>
          <w:p w:rsidR="00CD62AE" w:rsidRPr="0088114C" w:rsidRDefault="00CD62AE" w:rsidP="00CD62AE">
            <w:pPr>
              <w:jc w:val="center"/>
              <w:rPr>
                <w:rFonts w:asciiTheme="minorBidi" w:hAnsiTheme="minorBidi" w:cs="Fanan"/>
                <w:b/>
                <w:bCs/>
                <w:sz w:val="28"/>
                <w:szCs w:val="28"/>
                <w:rtl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>مختصر توصيف المقرر</w:t>
            </w:r>
          </w:p>
          <w:p w:rsidR="00CD62AE" w:rsidRPr="0088114C" w:rsidRDefault="00CD62AE" w:rsidP="00CD62AE">
            <w:pPr>
              <w:rPr>
                <w:rFonts w:asciiTheme="minorBidi" w:hAnsiTheme="minorBidi" w:cs="Fanan"/>
                <w:b/>
                <w:bCs/>
                <w:sz w:val="28"/>
                <w:szCs w:val="28"/>
                <w:rtl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>معلومات المقرر: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72"/>
              <w:gridCol w:w="2835"/>
              <w:gridCol w:w="2689"/>
            </w:tblGrid>
            <w:tr w:rsidR="00CD62AE" w:rsidRPr="00930D21" w:rsidTr="007F7FA8">
              <w:trPr>
                <w:trHeight w:val="350"/>
              </w:trPr>
              <w:tc>
                <w:tcPr>
                  <w:tcW w:w="2772" w:type="dxa"/>
                </w:tcPr>
                <w:p w:rsidR="00CD62AE" w:rsidRPr="0088114C" w:rsidRDefault="00CD62AE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</w:rPr>
                  </w:pPr>
                  <w:r w:rsidRPr="0088114C"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  <w:t>اسم المقرر:</w:t>
                  </w:r>
                </w:p>
              </w:tc>
              <w:tc>
                <w:tcPr>
                  <w:tcW w:w="5524" w:type="dxa"/>
                  <w:gridSpan w:val="2"/>
                </w:tcPr>
                <w:p w:rsidR="00CD62AE" w:rsidRPr="0088114C" w:rsidRDefault="00062D7A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>اللغويات</w:t>
                  </w:r>
                  <w:proofErr w:type="gramEnd"/>
                  <w:r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 xml:space="preserve"> التطبيقية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2772" w:type="dxa"/>
                </w:tcPr>
                <w:p w:rsidR="00CD62AE" w:rsidRPr="0088114C" w:rsidRDefault="007F7FA8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 xml:space="preserve">رمز </w:t>
                  </w:r>
                  <w:r w:rsidR="00CD62AE" w:rsidRPr="0088114C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>رقم المقرر:</w:t>
                  </w:r>
                </w:p>
              </w:tc>
              <w:tc>
                <w:tcPr>
                  <w:tcW w:w="5524" w:type="dxa"/>
                  <w:gridSpan w:val="2"/>
                </w:tcPr>
                <w:p w:rsidR="00CD62AE" w:rsidRPr="00930D21" w:rsidRDefault="00062D7A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324 نجل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2772" w:type="dxa"/>
                </w:tcPr>
                <w:p w:rsidR="00CD62AE" w:rsidRPr="0088114C" w:rsidRDefault="00CD62AE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</w:pPr>
                  <w:r w:rsidRPr="0088114C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>اسم ورقم المتطلب السابق (المرافق):</w:t>
                  </w:r>
                </w:p>
              </w:tc>
              <w:tc>
                <w:tcPr>
                  <w:tcW w:w="5524" w:type="dxa"/>
                  <w:gridSpan w:val="2"/>
                </w:tcPr>
                <w:p w:rsidR="00CD62AE" w:rsidRPr="00930D21" w:rsidRDefault="00070CAC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070CAC">
                    <w:rPr>
                      <w:rFonts w:ascii="Bodoni MT" w:hAnsi="Bodoni MT"/>
                      <w:b/>
                      <w:bCs/>
                      <w:sz w:val="28"/>
                      <w:szCs w:val="28"/>
                    </w:rPr>
                    <w:t>320 &amp; Eng. 323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2772" w:type="dxa"/>
                </w:tcPr>
                <w:p w:rsidR="00CD62AE" w:rsidRPr="0088114C" w:rsidRDefault="00CD62AE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</w:pPr>
                  <w:r w:rsidRPr="0088114C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>مستوى المقرر:</w:t>
                  </w:r>
                </w:p>
              </w:tc>
              <w:tc>
                <w:tcPr>
                  <w:tcW w:w="5524" w:type="dxa"/>
                  <w:gridSpan w:val="2"/>
                </w:tcPr>
                <w:p w:rsidR="00CD62AE" w:rsidRPr="00930D21" w:rsidRDefault="00062D7A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2772" w:type="dxa"/>
                </w:tcPr>
                <w:p w:rsidR="00CD62AE" w:rsidRPr="0088114C" w:rsidRDefault="00CD62AE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88114C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>الساعات</w:t>
                  </w:r>
                  <w:proofErr w:type="gramEnd"/>
                  <w:r w:rsidRPr="0088114C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 xml:space="preserve"> المعتمدة:</w:t>
                  </w:r>
                </w:p>
              </w:tc>
              <w:tc>
                <w:tcPr>
                  <w:tcW w:w="5524" w:type="dxa"/>
                  <w:gridSpan w:val="2"/>
                </w:tcPr>
                <w:p w:rsidR="00CD62AE" w:rsidRPr="00930D21" w:rsidRDefault="00062D7A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  <w:gridSpan w:val="2"/>
                </w:tcPr>
                <w:p w:rsidR="00CD62AE" w:rsidRPr="00930D21" w:rsidRDefault="00062D7A" w:rsidP="00E134E8">
                  <w:pPr>
                    <w:bidi w:val="0"/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Applied Linguistics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Module Title: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  <w:gridSpan w:val="2"/>
                </w:tcPr>
                <w:p w:rsidR="00CD62AE" w:rsidRPr="00930D21" w:rsidRDefault="00062D7A" w:rsidP="00CD62AE">
                  <w:pPr>
                    <w:bidi w:val="0"/>
                    <w:spacing w:line="240" w:lineRule="auto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324 ENG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Module ID: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  <w:gridSpan w:val="2"/>
                </w:tcPr>
                <w:p w:rsidR="00CD62AE" w:rsidRPr="00930D21" w:rsidRDefault="00070CAC" w:rsidP="007F7FA8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 w:rsidRPr="00070CAC">
                    <w:rPr>
                      <w:rFonts w:ascii="Bodoni MT" w:hAnsi="Bodoni MT"/>
                      <w:b/>
                      <w:bCs/>
                      <w:sz w:val="28"/>
                      <w:szCs w:val="28"/>
                    </w:rPr>
                    <w:t>320 &amp; Eng. 323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Prerequisite (Co-requisite) 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  <w:gridSpan w:val="2"/>
                </w:tcPr>
                <w:p w:rsidR="00CD62AE" w:rsidRPr="00930D21" w:rsidRDefault="00062D7A" w:rsidP="00CD62AE">
                  <w:pPr>
                    <w:bidi w:val="0"/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Level: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  <w:gridSpan w:val="2"/>
                </w:tcPr>
                <w:p w:rsidR="00CD62AE" w:rsidRPr="00930D21" w:rsidRDefault="00062D7A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Credit Hours:</w:t>
                  </w:r>
                </w:p>
              </w:tc>
            </w:tr>
          </w:tbl>
          <w:p w:rsidR="00CD62AE" w:rsidRPr="00930D21" w:rsidRDefault="00CD62AE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</w:p>
          <w:p w:rsidR="00CD62AE" w:rsidRPr="0088114C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1400"/>
                <w:tab w:val="right" w:pos="9741"/>
              </w:tabs>
              <w:rPr>
                <w:rFonts w:asciiTheme="minorBidi" w:hAnsiTheme="minorBidi" w:cs="Fanan"/>
                <w:b/>
                <w:bCs/>
                <w:sz w:val="28"/>
                <w:szCs w:val="28"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 xml:space="preserve">وصف المقرر  </w:t>
            </w:r>
            <w:r w:rsidRPr="0088114C">
              <w:rPr>
                <w:rFonts w:asciiTheme="minorBidi" w:hAnsiTheme="minorBidi" w:cs="Fanan"/>
                <w:b/>
                <w:bCs/>
                <w:sz w:val="28"/>
                <w:szCs w:val="28"/>
              </w:rPr>
              <w:t xml:space="preserve">Module Description                                                       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76"/>
            </w:tblGrid>
            <w:tr w:rsidR="00CD62AE" w:rsidRPr="00930D21" w:rsidTr="00D558DF">
              <w:trPr>
                <w:trHeight w:val="4081"/>
              </w:trPr>
              <w:tc>
                <w:tcPr>
                  <w:tcW w:w="8276" w:type="dxa"/>
                </w:tcPr>
                <w:p w:rsidR="00062D7A" w:rsidRPr="00062D7A" w:rsidRDefault="00062D7A" w:rsidP="00062D7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D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course introduces students to some basic issues in applied linguistics that pertain to second language learning and teaching.  Topics will include:</w:t>
                  </w:r>
                </w:p>
                <w:p w:rsidR="00062D7A" w:rsidRPr="00062D7A" w:rsidRDefault="00062D7A" w:rsidP="00062D7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D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A definition of the term and its relation to other disciplines.</w:t>
                  </w:r>
                </w:p>
                <w:p w:rsidR="00062D7A" w:rsidRPr="00062D7A" w:rsidRDefault="00062D7A" w:rsidP="00062D7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D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 A brief discussion of language learning theories.</w:t>
                  </w:r>
                </w:p>
                <w:p w:rsidR="00062D7A" w:rsidRPr="00062D7A" w:rsidRDefault="00062D7A" w:rsidP="00062D7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D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c. Factors affecting second language learning, age factors, personality factors, socio-cultural factors in ESL learning. </w:t>
                  </w:r>
                </w:p>
                <w:p w:rsidR="00062D7A" w:rsidRPr="00062D7A" w:rsidRDefault="00062D7A" w:rsidP="00062D7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D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 Learning strategies.</w:t>
                  </w:r>
                </w:p>
                <w:p w:rsidR="00062D7A" w:rsidRPr="00062D7A" w:rsidRDefault="00062D7A" w:rsidP="00062D7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D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e. Communicative competence</w:t>
                  </w:r>
                </w:p>
                <w:p w:rsidR="00CD62AE" w:rsidRPr="00930D21" w:rsidRDefault="00062D7A" w:rsidP="00062D7A">
                  <w:pPr>
                    <w:bidi w:val="0"/>
                    <w:spacing w:after="0" w:line="240" w:lineRule="auto"/>
                    <w:jc w:val="both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062D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f. Learner language</w:t>
                  </w:r>
                </w:p>
              </w:tc>
            </w:tr>
          </w:tbl>
          <w:p w:rsidR="00CD62AE" w:rsidRDefault="00CD62AE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</w:p>
          <w:p w:rsidR="00CF5A0B" w:rsidRPr="00930D21" w:rsidRDefault="00CF5A0B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CD62AE" w:rsidRPr="0088114C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1427"/>
                <w:tab w:val="right" w:pos="9741"/>
              </w:tabs>
              <w:rPr>
                <w:rFonts w:asciiTheme="minorBidi" w:hAnsiTheme="minorBidi" w:cs="Fanan"/>
                <w:b/>
                <w:bCs/>
                <w:sz w:val="28"/>
                <w:szCs w:val="28"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lastRenderedPageBreak/>
              <w:t>أهداف المقرر</w:t>
            </w:r>
            <w:r w:rsidRPr="0088114C">
              <w:rPr>
                <w:rFonts w:asciiTheme="minorBidi" w:hAnsiTheme="minorBidi" w:cs="Fanan"/>
                <w:b/>
                <w:bCs/>
                <w:sz w:val="28"/>
                <w:szCs w:val="28"/>
              </w:rPr>
              <w:tab/>
              <w:t xml:space="preserve">Module Aims                                                                     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140"/>
            </w:tblGrid>
            <w:tr w:rsidR="005D22DD" w:rsidRPr="00930D21" w:rsidTr="005D22DD">
              <w:trPr>
                <w:trHeight w:val="2947"/>
              </w:trPr>
              <w:tc>
                <w:tcPr>
                  <w:tcW w:w="8140" w:type="dxa"/>
                </w:tcPr>
                <w:p w:rsidR="00946ED1" w:rsidRPr="00930D21" w:rsidRDefault="00946ED1" w:rsidP="00946ED1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  <w:p w:rsidR="00062D7A" w:rsidRPr="00062D7A" w:rsidRDefault="00062D7A" w:rsidP="00062D7A">
                  <w:pPr>
                    <w:bidi w:val="0"/>
                    <w:rPr>
                      <w:rFonts w:ascii="Bodoni MT" w:hAnsi="Bodoni MT"/>
                      <w:i/>
                      <w:iCs/>
                      <w:sz w:val="28"/>
                      <w:szCs w:val="28"/>
                    </w:rPr>
                  </w:pPr>
                  <w:r w:rsidRPr="00062D7A">
                    <w:rPr>
                      <w:rFonts w:ascii="Bodoni MT" w:hAnsi="Bodoni MT"/>
                      <w:i/>
                      <w:iCs/>
                      <w:sz w:val="28"/>
                      <w:szCs w:val="28"/>
                    </w:rPr>
                    <w:t xml:space="preserve">Students should be able to: </w:t>
                  </w:r>
                </w:p>
                <w:p w:rsidR="00062D7A" w:rsidRPr="00062D7A" w:rsidRDefault="00062D7A" w:rsidP="00062D7A">
                  <w:pPr>
                    <w:numPr>
                      <w:ilvl w:val="0"/>
                      <w:numId w:val="3"/>
                    </w:numPr>
                    <w:bidi w:val="0"/>
                    <w:spacing w:after="0" w:line="240" w:lineRule="auto"/>
                    <w:ind w:left="720"/>
                    <w:contextualSpacing/>
                    <w:rPr>
                      <w:rFonts w:ascii="Bodoni MT" w:hAnsi="Bodoni MT"/>
                      <w:sz w:val="28"/>
                      <w:szCs w:val="28"/>
                    </w:rPr>
                  </w:pPr>
                  <w:r w:rsidRPr="00062D7A">
                    <w:rPr>
                      <w:rFonts w:ascii="Bodoni MT" w:hAnsi="Bodoni MT"/>
                      <w:sz w:val="28"/>
                      <w:szCs w:val="28"/>
                    </w:rPr>
                    <w:t>Recognize domains of applied linguistics in solving second language learning problems</w:t>
                  </w:r>
                </w:p>
                <w:p w:rsidR="00062D7A" w:rsidRPr="00062D7A" w:rsidRDefault="00062D7A" w:rsidP="00062D7A">
                  <w:pPr>
                    <w:numPr>
                      <w:ilvl w:val="0"/>
                      <w:numId w:val="3"/>
                    </w:numPr>
                    <w:bidi w:val="0"/>
                    <w:spacing w:after="0" w:line="240" w:lineRule="auto"/>
                    <w:ind w:left="720"/>
                    <w:contextualSpacing/>
                    <w:rPr>
                      <w:rFonts w:ascii="Bodoni MT" w:hAnsi="Bodoni MT"/>
                      <w:sz w:val="28"/>
                      <w:szCs w:val="28"/>
                    </w:rPr>
                  </w:pPr>
                  <w:r w:rsidRPr="00062D7A">
                    <w:rPr>
                      <w:rFonts w:ascii="Bodoni MT" w:hAnsi="Bodoni MT"/>
                      <w:sz w:val="28"/>
                      <w:szCs w:val="28"/>
                    </w:rPr>
                    <w:t>Explain the main theories of second language learning</w:t>
                  </w:r>
                </w:p>
                <w:p w:rsidR="00062D7A" w:rsidRPr="00062D7A" w:rsidRDefault="00062D7A" w:rsidP="00062D7A">
                  <w:pPr>
                    <w:numPr>
                      <w:ilvl w:val="0"/>
                      <w:numId w:val="3"/>
                    </w:numPr>
                    <w:bidi w:val="0"/>
                    <w:spacing w:after="0" w:line="240" w:lineRule="auto"/>
                    <w:ind w:left="720"/>
                    <w:contextualSpacing/>
                    <w:rPr>
                      <w:rFonts w:ascii="Bodoni MT" w:hAnsi="Bodoni MT"/>
                      <w:sz w:val="28"/>
                      <w:szCs w:val="28"/>
                    </w:rPr>
                  </w:pPr>
                  <w:r w:rsidRPr="00062D7A">
                    <w:rPr>
                      <w:rFonts w:ascii="Bodoni MT" w:hAnsi="Bodoni MT"/>
                      <w:sz w:val="28"/>
                      <w:szCs w:val="28"/>
                    </w:rPr>
                    <w:t>Compare and contrast the different theories of second language acquisition</w:t>
                  </w:r>
                </w:p>
                <w:p w:rsidR="00062D7A" w:rsidRPr="00062D7A" w:rsidRDefault="00062D7A" w:rsidP="00062D7A">
                  <w:pPr>
                    <w:numPr>
                      <w:ilvl w:val="0"/>
                      <w:numId w:val="3"/>
                    </w:numPr>
                    <w:bidi w:val="0"/>
                    <w:spacing w:after="0" w:line="240" w:lineRule="auto"/>
                    <w:ind w:left="720"/>
                    <w:contextualSpacing/>
                    <w:rPr>
                      <w:rFonts w:ascii="Bodoni MT" w:hAnsi="Bodoni MT"/>
                      <w:sz w:val="28"/>
                      <w:szCs w:val="28"/>
                    </w:rPr>
                  </w:pPr>
                  <w:r w:rsidRPr="00062D7A">
                    <w:rPr>
                      <w:rFonts w:ascii="Bodoni MT" w:hAnsi="Bodoni MT"/>
                      <w:sz w:val="28"/>
                      <w:szCs w:val="28"/>
                    </w:rPr>
                    <w:t>Identify individual factors affecting second language acquisition.</w:t>
                  </w:r>
                </w:p>
                <w:p w:rsidR="00062D7A" w:rsidRPr="00062D7A" w:rsidRDefault="00062D7A" w:rsidP="00062D7A">
                  <w:pPr>
                    <w:numPr>
                      <w:ilvl w:val="0"/>
                      <w:numId w:val="3"/>
                    </w:numPr>
                    <w:bidi w:val="0"/>
                    <w:spacing w:after="0" w:line="240" w:lineRule="auto"/>
                    <w:ind w:left="720"/>
                    <w:contextualSpacing/>
                    <w:rPr>
                      <w:rFonts w:ascii="Bodoni MT" w:hAnsi="Bodoni MT"/>
                      <w:sz w:val="28"/>
                      <w:szCs w:val="28"/>
                    </w:rPr>
                  </w:pPr>
                  <w:r w:rsidRPr="00062D7A">
                    <w:rPr>
                      <w:rFonts w:ascii="Bodoni MT" w:hAnsi="Bodoni MT"/>
                      <w:sz w:val="28"/>
                      <w:szCs w:val="28"/>
                    </w:rPr>
                    <w:t>Identify main teaching methods</w:t>
                  </w:r>
                </w:p>
                <w:p w:rsidR="00062D7A" w:rsidRPr="00062D7A" w:rsidRDefault="00062D7A" w:rsidP="00062D7A">
                  <w:pPr>
                    <w:numPr>
                      <w:ilvl w:val="0"/>
                      <w:numId w:val="3"/>
                    </w:numPr>
                    <w:bidi w:val="0"/>
                    <w:spacing w:after="0" w:line="240" w:lineRule="auto"/>
                    <w:ind w:left="720"/>
                    <w:contextualSpacing/>
                    <w:rPr>
                      <w:rFonts w:ascii="Bodoni MT" w:hAnsi="Bodoni MT"/>
                      <w:sz w:val="28"/>
                      <w:szCs w:val="28"/>
                    </w:rPr>
                  </w:pPr>
                  <w:r w:rsidRPr="00062D7A">
                    <w:rPr>
                      <w:rFonts w:ascii="Bodoni MT" w:hAnsi="Bodoni MT"/>
                      <w:sz w:val="28"/>
                      <w:szCs w:val="28"/>
                    </w:rPr>
                    <w:t>Compare and contrast teaching methods.</w:t>
                  </w:r>
                </w:p>
                <w:p w:rsidR="00062D7A" w:rsidRPr="00062D7A" w:rsidRDefault="00062D7A" w:rsidP="00062D7A">
                  <w:pPr>
                    <w:numPr>
                      <w:ilvl w:val="0"/>
                      <w:numId w:val="3"/>
                    </w:numPr>
                    <w:bidi w:val="0"/>
                    <w:spacing w:after="0" w:line="240" w:lineRule="auto"/>
                    <w:ind w:left="720"/>
                    <w:contextualSpacing/>
                    <w:rPr>
                      <w:rFonts w:ascii="Bodoni MT" w:hAnsi="Bodoni MT"/>
                      <w:sz w:val="28"/>
                      <w:szCs w:val="28"/>
                    </w:rPr>
                  </w:pPr>
                  <w:r w:rsidRPr="00062D7A">
                    <w:rPr>
                      <w:rFonts w:ascii="Bodoni MT" w:hAnsi="Bodoni MT"/>
                      <w:sz w:val="28"/>
                      <w:szCs w:val="28"/>
                    </w:rPr>
                    <w:t>Discuss issues related to second language acquisition and present opposing arguments</w:t>
                  </w:r>
                </w:p>
                <w:p w:rsidR="00062D7A" w:rsidRPr="00062D7A" w:rsidRDefault="00062D7A" w:rsidP="00062D7A">
                  <w:pPr>
                    <w:bidi w:val="0"/>
                    <w:ind w:left="360"/>
                    <w:rPr>
                      <w:rFonts w:ascii="Bodoni MT" w:hAnsi="Bodoni MT"/>
                      <w:sz w:val="28"/>
                      <w:szCs w:val="28"/>
                    </w:rPr>
                  </w:pPr>
                  <w:r w:rsidRPr="00062D7A">
                    <w:rPr>
                      <w:rFonts w:ascii="Bodoni MT" w:hAnsi="Bodoni MT"/>
                      <w:sz w:val="28"/>
                      <w:szCs w:val="28"/>
                    </w:rPr>
                    <w:t xml:space="preserve"> 10. Analyze hypothetical problems related to second language acquisition and predict outcomes</w:t>
                  </w:r>
                </w:p>
                <w:p w:rsidR="005D22DD" w:rsidRPr="00062D7A" w:rsidRDefault="005D22DD" w:rsidP="005D22DD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CD62AE" w:rsidRPr="00930D21" w:rsidRDefault="00CD62AE" w:rsidP="00CD62AE">
            <w:pPr>
              <w:jc w:val="center"/>
              <w:rPr>
                <w:rFonts w:asciiTheme="minorBidi" w:hAnsiTheme="minorBidi" w:cs="Fanan"/>
                <w:sz w:val="28"/>
                <w:szCs w:val="28"/>
              </w:rPr>
            </w:pPr>
          </w:p>
          <w:p w:rsidR="00CD62AE" w:rsidRPr="0088114C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666"/>
                <w:tab w:val="right" w:pos="9741"/>
              </w:tabs>
              <w:rPr>
                <w:rFonts w:asciiTheme="minorBidi" w:hAnsiTheme="minorBidi" w:cs="Fanan"/>
                <w:b/>
                <w:bCs/>
                <w:sz w:val="28"/>
                <w:szCs w:val="28"/>
              </w:rPr>
            </w:pPr>
            <w:proofErr w:type="gramStart"/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>مخرجات</w:t>
            </w:r>
            <w:proofErr w:type="gramEnd"/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 xml:space="preserve"> التعليم:</w:t>
            </w:r>
            <w:r w:rsidRPr="0088114C">
              <w:rPr>
                <w:rFonts w:asciiTheme="minorBidi" w:hAnsiTheme="minorBidi" w:cs="Fanan"/>
                <w:b/>
                <w:bCs/>
                <w:sz w:val="28"/>
                <w:szCs w:val="28"/>
              </w:rPr>
              <w:t>Learning Outcomes</w:t>
            </w:r>
            <w:r>
              <w:rPr>
                <w:rFonts w:asciiTheme="minorBidi" w:hAnsiTheme="minorBidi" w:cs="Fanan"/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040"/>
            </w:tblGrid>
            <w:tr w:rsidR="00062D7A" w:rsidRPr="00930D21" w:rsidTr="00361D8D">
              <w:trPr>
                <w:trHeight w:val="2670"/>
              </w:trPr>
              <w:tc>
                <w:tcPr>
                  <w:tcW w:w="8040" w:type="dxa"/>
                </w:tcPr>
                <w:p w:rsidR="00062D7A" w:rsidRPr="00062D7A" w:rsidRDefault="00062D7A" w:rsidP="00062D7A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4"/>
                      <w:szCs w:val="24"/>
                    </w:rPr>
                  </w:pPr>
                  <w:r w:rsidRPr="00062D7A">
                    <w:rPr>
                      <w:rFonts w:asciiTheme="minorBidi" w:hAnsiTheme="minorBidi" w:cs="Fanan"/>
                      <w:sz w:val="24"/>
                      <w:szCs w:val="24"/>
                    </w:rPr>
                    <w:t>Ss should be able to identify:</w:t>
                  </w:r>
                </w:p>
                <w:p w:rsidR="00062D7A" w:rsidRPr="00062D7A" w:rsidRDefault="00062D7A" w:rsidP="00062D7A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135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2D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basic issues in second language acquisition</w:t>
                  </w:r>
                </w:p>
                <w:p w:rsidR="00062D7A" w:rsidRPr="00062D7A" w:rsidRDefault="00062D7A" w:rsidP="00062D7A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135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2D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basic theories of second language acquisition/learning</w:t>
                  </w:r>
                </w:p>
                <w:p w:rsidR="00062D7A" w:rsidRPr="00062D7A" w:rsidRDefault="00062D7A" w:rsidP="00062D7A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135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2D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Factors affecting foreign language learning and teaching</w:t>
                  </w:r>
                </w:p>
                <w:p w:rsidR="00062D7A" w:rsidRPr="00062D7A" w:rsidRDefault="00062D7A" w:rsidP="00062D7A">
                  <w:pPr>
                    <w:numPr>
                      <w:ilvl w:val="0"/>
                      <w:numId w:val="4"/>
                    </w:numPr>
                    <w:bidi w:val="0"/>
                    <w:spacing w:after="0" w:line="240" w:lineRule="auto"/>
                    <w:ind w:left="135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062D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characteristics of learner language</w:t>
                  </w:r>
                </w:p>
                <w:p w:rsidR="00062D7A" w:rsidRPr="00930D21" w:rsidRDefault="00062D7A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CD62AE" w:rsidRDefault="00CD62AE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D558DF" w:rsidRDefault="00D558DF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062D7A" w:rsidRDefault="00062D7A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062D7A" w:rsidRDefault="00062D7A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062D7A" w:rsidRDefault="00062D7A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062D7A" w:rsidRDefault="00062D7A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062D7A" w:rsidRDefault="00062D7A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062D7A" w:rsidRDefault="00062D7A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062D7A" w:rsidRDefault="00062D7A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062D7A" w:rsidRDefault="00062D7A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062D7A" w:rsidRDefault="00062D7A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D558DF" w:rsidRPr="00930D21" w:rsidRDefault="00D558DF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CD62AE" w:rsidRPr="00930D21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761"/>
                <w:tab w:val="right" w:pos="9741"/>
              </w:tabs>
              <w:rPr>
                <w:rFonts w:asciiTheme="minorBidi" w:hAnsiTheme="minorBidi" w:cs="Fanan"/>
                <w:sz w:val="28"/>
                <w:szCs w:val="28"/>
              </w:rPr>
            </w:pPr>
            <w:proofErr w:type="gramStart"/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>الكتاب</w:t>
            </w:r>
            <w:proofErr w:type="gramEnd"/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 xml:space="preserve"> المقرر والمراجع المساندة:            </w:t>
            </w:r>
            <w:r w:rsidRPr="00930D21">
              <w:rPr>
                <w:rFonts w:asciiTheme="minorBidi" w:hAnsiTheme="minorBidi" w:cs="Fanan"/>
                <w:sz w:val="28"/>
                <w:szCs w:val="28"/>
              </w:rPr>
              <w:t xml:space="preserve"> Textbooks and References\</w:t>
            </w:r>
          </w:p>
          <w:p w:rsidR="00CD62AE" w:rsidRPr="00930D21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761"/>
                <w:tab w:val="right" w:pos="9741"/>
              </w:tabs>
              <w:rPr>
                <w:rFonts w:asciiTheme="minorBidi" w:hAnsiTheme="minorBidi" w:cs="Fanan"/>
                <w:sz w:val="28"/>
                <w:szCs w:val="28"/>
                <w:rtl/>
              </w:rPr>
            </w:pPr>
            <w:r w:rsidRPr="00930D21">
              <w:rPr>
                <w:rFonts w:asciiTheme="minorBidi" w:hAnsiTheme="minorBidi" w:cs="Fanan"/>
                <w:sz w:val="28"/>
                <w:szCs w:val="28"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296"/>
            </w:tblGrid>
            <w:tr w:rsidR="00062D7A" w:rsidRPr="00930D21" w:rsidTr="00212B41">
              <w:trPr>
                <w:trHeight w:val="2352"/>
              </w:trPr>
              <w:tc>
                <w:tcPr>
                  <w:tcW w:w="8296" w:type="dxa"/>
                  <w:shd w:val="clear" w:color="auto" w:fill="FFFFFF" w:themeFill="background1"/>
                </w:tcPr>
                <w:p w:rsidR="00062D7A" w:rsidRPr="00062D7A" w:rsidRDefault="00062D7A" w:rsidP="00062D7A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95" w:after="0" w:line="230" w:lineRule="exact"/>
                    <w:ind w:left="150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</w:pPr>
                  <w:r w:rsidRPr="00062D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Required Text(s) </w:t>
                  </w:r>
                </w:p>
                <w:p w:rsidR="00062D7A" w:rsidRPr="00062D7A" w:rsidRDefault="00062D7A" w:rsidP="00062D7A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2250"/>
                    <w:contextualSpacing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 w:rsidRPr="00062D7A">
                    <w:rPr>
                      <w:rFonts w:ascii="Times New Roman" w:hAnsi="Times New Roman" w:cs="Times New Roman"/>
                      <w:sz w:val="23"/>
                      <w:szCs w:val="23"/>
                    </w:rPr>
                    <w:t>Lightbrown</w:t>
                  </w:r>
                  <w:proofErr w:type="spellEnd"/>
                  <w:r w:rsidRPr="00062D7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Patsy and </w:t>
                  </w:r>
                  <w:proofErr w:type="spellStart"/>
                  <w:r w:rsidRPr="00062D7A">
                    <w:rPr>
                      <w:rFonts w:ascii="Times New Roman" w:hAnsi="Times New Roman" w:cs="Times New Roman"/>
                      <w:sz w:val="23"/>
                      <w:szCs w:val="23"/>
                    </w:rPr>
                    <w:t>Spada</w:t>
                  </w:r>
                  <w:proofErr w:type="spellEnd"/>
                  <w:r w:rsidRPr="00062D7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Nina. </w:t>
                  </w:r>
                  <w:r w:rsidRPr="00062D7A"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  <w:t>How languages are learned, 3</w:t>
                  </w:r>
                  <w:r w:rsidRPr="00062D7A">
                    <w:rPr>
                      <w:rFonts w:ascii="Times New Roman" w:hAnsi="Times New Roman" w:cs="Times New Roman"/>
                      <w:i/>
                      <w:iCs/>
                      <w:sz w:val="15"/>
                      <w:szCs w:val="15"/>
                    </w:rPr>
                    <w:t xml:space="preserve">rd </w:t>
                  </w:r>
                  <w:r w:rsidRPr="00062D7A"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  <w:t xml:space="preserve">ed. </w:t>
                  </w:r>
                  <w:r w:rsidRPr="00062D7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Oxford Univ. Press, 2007. </w:t>
                  </w:r>
                </w:p>
                <w:p w:rsidR="00062D7A" w:rsidRPr="00062D7A" w:rsidRDefault="00062D7A" w:rsidP="00062D7A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bidi w:val="0"/>
                    <w:adjustRightInd w:val="0"/>
                    <w:spacing w:after="0" w:line="230" w:lineRule="exact"/>
                    <w:ind w:left="2250"/>
                    <w:contextualSpacing/>
                    <w:rPr>
                      <w:rFonts w:ascii="Bodoni MT" w:eastAsia="Times New Roman" w:hAnsi="Bodoni MT" w:cs="Times New Roman"/>
                      <w:color w:val="000000"/>
                      <w:spacing w:val="-2"/>
                      <w:sz w:val="23"/>
                      <w:szCs w:val="23"/>
                    </w:rPr>
                  </w:pPr>
                  <w:r w:rsidRPr="00062D7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Brown, Douglas</w:t>
                  </w:r>
                  <w:r w:rsidRPr="00062D7A"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  <w:t>. Principles of language learning and teaching, 4</w:t>
                  </w:r>
                  <w:r w:rsidRPr="00062D7A">
                    <w:rPr>
                      <w:rFonts w:ascii="Times New Roman" w:hAnsi="Times New Roman" w:cs="Times New Roman"/>
                      <w:i/>
                      <w:iCs/>
                      <w:sz w:val="15"/>
                      <w:szCs w:val="15"/>
                    </w:rPr>
                    <w:t xml:space="preserve">th </w:t>
                  </w:r>
                  <w:r w:rsidRPr="00062D7A"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  <w:t xml:space="preserve">ed. </w:t>
                  </w:r>
                  <w:r w:rsidRPr="00062D7A">
                    <w:rPr>
                      <w:rFonts w:ascii="Times New Roman" w:hAnsi="Times New Roman" w:cs="Times New Roman"/>
                      <w:sz w:val="23"/>
                      <w:szCs w:val="23"/>
                    </w:rPr>
                    <w:t>Longman, 2000.</w:t>
                  </w:r>
                </w:p>
                <w:p w:rsidR="00062D7A" w:rsidRPr="00062D7A" w:rsidRDefault="00062D7A" w:rsidP="00062D7A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95" w:after="0" w:line="230" w:lineRule="exact"/>
                    <w:ind w:left="1502"/>
                    <w:rPr>
                      <w:rFonts w:ascii="Bodoni MT" w:eastAsia="Times New Roman" w:hAnsi="Bodoni MT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</w:pPr>
                  <w:r w:rsidRPr="00062D7A">
                    <w:rPr>
                      <w:rFonts w:ascii="Bodoni MT" w:eastAsia="Times New Roman" w:hAnsi="Bodoni MT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2. </w:t>
                  </w:r>
                  <w:r w:rsidRPr="00062D7A">
                    <w:rPr>
                      <w:rFonts w:ascii="Bodoni MT" w:eastAsia="Times New Roman" w:hAnsi="Bodoni MT" w:cs="Times New Roman"/>
                      <w:color w:val="000000"/>
                      <w:spacing w:val="-2"/>
                      <w:sz w:val="23"/>
                      <w:szCs w:val="23"/>
                    </w:rPr>
                    <w:t>E</w:t>
                  </w:r>
                  <w:r w:rsidRPr="00062D7A">
                    <w:rPr>
                      <w:rFonts w:ascii="Bodoni MT" w:eastAsia="Times New Roman" w:hAnsi="Bodoni MT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ssential References </w:t>
                  </w:r>
                </w:p>
                <w:p w:rsidR="00062D7A" w:rsidRPr="00062D7A" w:rsidRDefault="00062D7A" w:rsidP="00062D7A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before="95" w:after="0" w:line="230" w:lineRule="exact"/>
                    <w:ind w:left="1502"/>
                    <w:rPr>
                      <w:rFonts w:ascii="Bodoni MT" w:eastAsia="Times New Roman" w:hAnsi="Bodoni MT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</w:pPr>
                  <w:r w:rsidRPr="00062D7A">
                    <w:rPr>
                      <w:rFonts w:ascii="Bodoni MT" w:eastAsia="Times New Roman" w:hAnsi="Bodoni MT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3- Recommended Books and Reference Material (Journals, Reports, etc) </w:t>
                  </w:r>
                </w:p>
                <w:p w:rsidR="00062D7A" w:rsidRPr="00062D7A" w:rsidRDefault="00062D7A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</w:tc>
            </w:tr>
          </w:tbl>
          <w:p w:rsidR="00CD62AE" w:rsidRPr="00930D21" w:rsidRDefault="00CD62AE" w:rsidP="007F7FA8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</w:tc>
      </w:tr>
    </w:tbl>
    <w:p w:rsidR="00CD62AE" w:rsidRDefault="00CD62AE"/>
    <w:sectPr w:rsidR="00CD62AE" w:rsidSect="005B47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624"/>
    <w:multiLevelType w:val="hybridMultilevel"/>
    <w:tmpl w:val="248C6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5F4EE1"/>
    <w:multiLevelType w:val="hybridMultilevel"/>
    <w:tmpl w:val="B8400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F0895"/>
    <w:multiLevelType w:val="hybridMultilevel"/>
    <w:tmpl w:val="C556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86987"/>
    <w:multiLevelType w:val="hybridMultilevel"/>
    <w:tmpl w:val="DF48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B3389"/>
    <w:multiLevelType w:val="hybridMultilevel"/>
    <w:tmpl w:val="BE401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hyphenationZone w:val="425"/>
  <w:characterSpacingControl w:val="doNotCompress"/>
  <w:compat/>
  <w:rsids>
    <w:rsidRoot w:val="00CD62AE"/>
    <w:rsid w:val="00062D7A"/>
    <w:rsid w:val="000708B8"/>
    <w:rsid w:val="00070CAC"/>
    <w:rsid w:val="000B64B0"/>
    <w:rsid w:val="000C018E"/>
    <w:rsid w:val="001509B5"/>
    <w:rsid w:val="001F7E68"/>
    <w:rsid w:val="002A7537"/>
    <w:rsid w:val="00330141"/>
    <w:rsid w:val="0044634E"/>
    <w:rsid w:val="0047323A"/>
    <w:rsid w:val="005B47C8"/>
    <w:rsid w:val="005D22DD"/>
    <w:rsid w:val="007E2246"/>
    <w:rsid w:val="007F7FA8"/>
    <w:rsid w:val="00946ED1"/>
    <w:rsid w:val="00AD5C2A"/>
    <w:rsid w:val="00CD62AE"/>
    <w:rsid w:val="00CF5A0B"/>
    <w:rsid w:val="00D413B3"/>
    <w:rsid w:val="00D558DF"/>
    <w:rsid w:val="00E134E8"/>
    <w:rsid w:val="00F96EC2"/>
    <w:rsid w:val="00FF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AE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2">
    <w:name w:val="شبكة جدول2"/>
    <w:basedOn w:val="TableauNormal"/>
    <w:uiPriority w:val="59"/>
    <w:rsid w:val="00CD62A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D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0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A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شبكة جدول2"/>
    <w:basedOn w:val="TableNormal"/>
    <w:uiPriority w:val="59"/>
    <w:rsid w:val="00CD62A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D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345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</dc:creator>
  <cp:lastModifiedBy>pc</cp:lastModifiedBy>
  <cp:revision>2</cp:revision>
  <dcterms:created xsi:type="dcterms:W3CDTF">2015-04-12T19:45:00Z</dcterms:created>
  <dcterms:modified xsi:type="dcterms:W3CDTF">2015-04-12T19:45:00Z</dcterms:modified>
</cp:coreProperties>
</file>