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057385" w:rsidRDefault="007F14C3" w:rsidP="00057385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العاشرة : أوجه الصرف من ميزانية الكرسي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666600"/>
          <w:bdr w:val="none" w:sz="0" w:space="0" w:color="auto" w:frame="1"/>
          <w:rtl/>
        </w:rPr>
        <w:t>تشمل أوجه الصرف من ميزانية الكرسي ما يلي :-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الأبحاث والدراسات التي تندرج ضمن برنامج كرسي البحث.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2.     التجهيزات والأدوات والمستلزمات.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المصروفات الإدارية والتشغيلية.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المؤتمرات والندوات وورش العمل 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الرواتب والبدلات والمكافآت وحوافز التميز والاستقطاب.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6.     تكاليف النشر والطباعة والإعلام ، ورسوم تسجيل براءات الاختراع  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7.     تكاليف الخبراء والمستشارين.</w:t>
      </w:r>
    </w:p>
    <w:p w:rsidR="007F14C3" w:rsidRDefault="007F14C3" w:rsidP="007F14C3">
      <w:pPr>
        <w:pStyle w:val="ar"/>
        <w:bidi/>
        <w:spacing w:before="0" w:beforeAutospacing="0" w:after="0" w:afterAutospacing="0" w:line="480" w:lineRule="atLeast"/>
        <w:ind w:left="144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8.     أوجه أخرى تراها لجنة كراسي البحث. </w:t>
      </w: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bookmarkStart w:id="0" w:name="_GoBack"/>
      <w:bookmarkEnd w:id="0"/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54CB2"/>
    <w:rsid w:val="009779D3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2015-04-15T09:27:00Z</cp:lastPrinted>
  <dcterms:created xsi:type="dcterms:W3CDTF">2015-04-15T09:28:00Z</dcterms:created>
  <dcterms:modified xsi:type="dcterms:W3CDTF">2015-04-15T09:28:00Z</dcterms:modified>
</cp:coreProperties>
</file>