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8518" w:type="dxa"/>
        <w:tblInd w:w="-316" w:type="dxa"/>
        <w:tblLook w:val="04A0"/>
      </w:tblPr>
      <w:tblGrid>
        <w:gridCol w:w="4436"/>
        <w:gridCol w:w="2348"/>
        <w:gridCol w:w="55"/>
        <w:gridCol w:w="3563"/>
        <w:gridCol w:w="3565"/>
        <w:gridCol w:w="4551"/>
      </w:tblGrid>
      <w:tr w:rsidR="0010539E" w:rsidRPr="0010539E" w:rsidTr="00CB04C1">
        <w:tc>
          <w:tcPr>
            <w:tcW w:w="18518" w:type="dxa"/>
            <w:gridSpan w:val="6"/>
          </w:tcPr>
          <w:p w:rsidR="0010539E" w:rsidRPr="0010539E" w:rsidRDefault="00A31155" w:rsidP="00D161F6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>
              <w:rPr>
                <w:rFonts w:asciiTheme="majorBidi" w:hAnsiTheme="majorBidi" w:cs="PT Bold Heading" w:hint="cs"/>
                <w:sz w:val="28"/>
                <w:szCs w:val="28"/>
                <w:rtl/>
              </w:rPr>
              <w:t>التوجيه والارشاد</w:t>
            </w:r>
          </w:p>
        </w:tc>
      </w:tr>
      <w:tr w:rsidR="0010539E" w:rsidRPr="0010539E" w:rsidTr="00CB04C1">
        <w:tc>
          <w:tcPr>
            <w:tcW w:w="18518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الهيكل التنظيمي 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CB04C1">
        <w:tc>
          <w:tcPr>
            <w:tcW w:w="18518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6E6E63" w:rsidRDefault="006E6E63" w:rsidP="00D161F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6E6E63">
              <w:rPr>
                <w:rFonts w:asciiTheme="majorBidi" w:hAnsiTheme="majorBidi" w:cstheme="majorBidi" w:hint="cs"/>
                <w:b/>
                <w:bCs/>
                <w:color w:val="E36C0A" w:themeColor="accent6" w:themeShade="BF"/>
                <w:sz w:val="36"/>
                <w:szCs w:val="36"/>
                <w:rtl/>
              </w:rPr>
              <w:t>قسم اللغة الانجليزية</w:t>
            </w:r>
          </w:p>
          <w:p w:rsidR="006E6E63" w:rsidRPr="00DF23CD" w:rsidRDefault="006E6E63" w:rsidP="00D161F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0539E" w:rsidRPr="00DF23CD" w:rsidRDefault="006E6E63" w:rsidP="00D161F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F23CD">
              <w:rPr>
                <w:rFonts w:cs="Hesham Bold" w:hint="cs"/>
                <w:b/>
                <w:bCs/>
                <w:color w:val="002060"/>
                <w:sz w:val="32"/>
                <w:szCs w:val="32"/>
                <w:rtl/>
              </w:rPr>
              <w:t>الفريق التنفيذي لوحدة  الارشاد والتوجيه</w:t>
            </w:r>
          </w:p>
          <w:p w:rsidR="006E6E63" w:rsidRPr="00DF23CD" w:rsidRDefault="006E6E63" w:rsidP="00D161F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6E6E63" w:rsidRPr="00DF23CD" w:rsidRDefault="006E6E63" w:rsidP="00D161F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tbl>
            <w:tblPr>
              <w:tblStyle w:val="MediumShading1-Accent6"/>
              <w:tblW w:w="10173" w:type="dxa"/>
              <w:jc w:val="center"/>
              <w:tblLook w:val="04A0"/>
            </w:tblPr>
            <w:tblGrid>
              <w:gridCol w:w="1915"/>
              <w:gridCol w:w="2871"/>
              <w:gridCol w:w="4820"/>
              <w:gridCol w:w="567"/>
            </w:tblGrid>
            <w:tr w:rsidR="006E6E63" w:rsidRPr="00DF23CD" w:rsidTr="00E90856">
              <w:trPr>
                <w:cnfStyle w:val="100000000000"/>
                <w:jc w:val="center"/>
              </w:trPr>
              <w:tc>
                <w:tcPr>
                  <w:cnfStyle w:val="001000000000"/>
                  <w:tcW w:w="1915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ملاحظات</w:t>
                  </w:r>
                </w:p>
              </w:tc>
              <w:tc>
                <w:tcPr>
                  <w:tcW w:w="2871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10000000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الصفة</w:t>
                  </w:r>
                </w:p>
              </w:tc>
              <w:tc>
                <w:tcPr>
                  <w:tcW w:w="4820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10000000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الاسم</w:t>
                  </w:r>
                </w:p>
              </w:tc>
              <w:tc>
                <w:tcPr>
                  <w:tcW w:w="567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10000000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  <w:tr w:rsidR="006E6E63" w:rsidRPr="00DF23CD" w:rsidTr="00E90856">
              <w:trPr>
                <w:cnfStyle w:val="000000100000"/>
                <w:jc w:val="center"/>
              </w:trPr>
              <w:tc>
                <w:tcPr>
                  <w:cnfStyle w:val="001000000000"/>
                  <w:tcW w:w="1915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rPr>
                      <w:rFonts w:cs="Hesham Bold"/>
                      <w:sz w:val="32"/>
                      <w:szCs w:val="32"/>
                    </w:rPr>
                  </w:pPr>
                </w:p>
              </w:tc>
              <w:tc>
                <w:tcPr>
                  <w:tcW w:w="2871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00000010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 xml:space="preserve">منسقة  الوحدة </w:t>
                  </w:r>
                </w:p>
              </w:tc>
              <w:tc>
                <w:tcPr>
                  <w:tcW w:w="4820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00000010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أ/سلمى محمد ناصر الحمد</w:t>
                  </w:r>
                </w:p>
              </w:tc>
              <w:tc>
                <w:tcPr>
                  <w:tcW w:w="567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00000010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1</w:t>
                  </w:r>
                </w:p>
              </w:tc>
            </w:tr>
            <w:tr w:rsidR="006E6E63" w:rsidRPr="00DF23CD" w:rsidTr="00E90856">
              <w:trPr>
                <w:cnfStyle w:val="000000010000"/>
                <w:jc w:val="center"/>
              </w:trPr>
              <w:tc>
                <w:tcPr>
                  <w:cnfStyle w:val="001000000000"/>
                  <w:tcW w:w="1915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rPr>
                      <w:rFonts w:cs="Hesham Bold"/>
                      <w:sz w:val="32"/>
                      <w:szCs w:val="32"/>
                    </w:rPr>
                  </w:pPr>
                </w:p>
              </w:tc>
              <w:tc>
                <w:tcPr>
                  <w:tcW w:w="2871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00000001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عضوة</w:t>
                  </w:r>
                </w:p>
              </w:tc>
              <w:tc>
                <w:tcPr>
                  <w:tcW w:w="4820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00000001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أ/ريم فهد محمد الفرهود</w:t>
                  </w:r>
                </w:p>
              </w:tc>
              <w:tc>
                <w:tcPr>
                  <w:tcW w:w="567" w:type="dxa"/>
                </w:tcPr>
                <w:p w:rsidR="006E6E63" w:rsidRPr="00DF23CD" w:rsidRDefault="006E6E63" w:rsidP="006E6E63">
                  <w:pPr>
                    <w:bidi w:val="0"/>
                    <w:spacing w:line="360" w:lineRule="auto"/>
                    <w:jc w:val="center"/>
                    <w:cnfStyle w:val="000000010000"/>
                    <w:rPr>
                      <w:rFonts w:cs="Hesham Bold"/>
                      <w:sz w:val="32"/>
                      <w:szCs w:val="32"/>
                    </w:rPr>
                  </w:pPr>
                  <w:r w:rsidRPr="00DF23CD">
                    <w:rPr>
                      <w:rFonts w:cs="Hesham Bold" w:hint="cs"/>
                      <w:sz w:val="32"/>
                      <w:szCs w:val="32"/>
                      <w:rtl/>
                    </w:rPr>
                    <w:t>2</w:t>
                  </w:r>
                </w:p>
              </w:tc>
            </w:tr>
          </w:tbl>
          <w:p w:rsidR="0010539E" w:rsidRPr="0010539E" w:rsidRDefault="0010539E" w:rsidP="00DF23C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CB04C1">
        <w:tc>
          <w:tcPr>
            <w:tcW w:w="18518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الرؤية:</w:t>
            </w:r>
          </w:p>
        </w:tc>
      </w:tr>
      <w:tr w:rsidR="0010539E" w:rsidRPr="0010539E" w:rsidTr="00CB04C1">
        <w:tc>
          <w:tcPr>
            <w:tcW w:w="18518" w:type="dxa"/>
            <w:gridSpan w:val="6"/>
          </w:tcPr>
          <w:p w:rsidR="0010539E" w:rsidRPr="00DF23CD" w:rsidRDefault="0010539E" w:rsidP="00DF23CD">
            <w:pPr>
              <w:tabs>
                <w:tab w:val="left" w:pos="4093"/>
              </w:tabs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</w:p>
          <w:p w:rsidR="00C37FD8" w:rsidRPr="00DF23CD" w:rsidRDefault="005B7877" w:rsidP="00DF23CD">
            <w:pPr>
              <w:spacing w:line="360" w:lineRule="auto"/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أن يكون الإرشاد النفسي في وحدة التوجيه والإرشاد بالقسم جهة رائدة في  تقديم ا</w:t>
            </w:r>
            <w:r w:rsidR="00A31155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لخدمات النفسية  لاحتياجات الط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البات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وتنمية الوعي بالذات وتر</w:t>
            </w:r>
            <w:r w:rsidR="00A31155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سيخ مفهوم الثقافة النفسية لديه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ن .و ان 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تكون وحدة الإرشاد والتوجيه الطلابي  بالقسم وحدة متميزةً و رائدةً ف</w:t>
            </w:r>
            <w:r w:rsidR="00A31155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ي تقديم الخدمات الإرشادية للط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البات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وإدارتها وتطويرها.</w:t>
            </w: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CB04C1">
        <w:tc>
          <w:tcPr>
            <w:tcW w:w="18518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الرسالة:</w:t>
            </w:r>
          </w:p>
        </w:tc>
      </w:tr>
      <w:tr w:rsidR="0010539E" w:rsidRPr="0010539E" w:rsidTr="00CB04C1">
        <w:tc>
          <w:tcPr>
            <w:tcW w:w="18518" w:type="dxa"/>
            <w:gridSpan w:val="6"/>
          </w:tcPr>
          <w:p w:rsidR="005B7877" w:rsidRPr="00DF23CD" w:rsidRDefault="005B7877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Theme="majorBidi" w:hAnsiTheme="majorBidi" w:cs="Times New Roman"/>
                <w:color w:val="E36C0A" w:themeColor="accent6" w:themeShade="BF"/>
                <w:sz w:val="32"/>
                <w:szCs w:val="32"/>
                <w:rtl/>
              </w:rPr>
              <w:t>1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تسعىوحدةالتوجيهوالإرشادبالقسمالىتحقيقأفضلتوافقنفسيللطالباتفيجومنالثقةوالاحترامالمتبادل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5B7877" w:rsidRPr="00DF23CD" w:rsidRDefault="005B7877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2-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تسعىوحدةالتوجيهوالإرشادبالقسمللنهوضبمستوى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السلوكي،والثقافي،وتكويناتجاهاتإيجابيةوذلكلتحقيقعلاقةفاعلةبينالطالبةوالبيئةالجامعية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5B7877" w:rsidRPr="00DF23CD" w:rsidRDefault="005B7877" w:rsidP="005B7877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تقديمخدماتإرشاديةمتكاملة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للطالبات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بالقسملمساعدةالطالب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فيتعلمه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وتفكيره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ا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وتعامله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ا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معنفسه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ومجتمعه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10539E" w:rsidRPr="00DF23CD" w:rsidRDefault="005B7877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3-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الأخذبيدالطالب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ومساعدته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فيحلمشكلاته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السلوكيةوالتربويةوالاجتماعيةوالنفسيةوزرعروحالثقةلديه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وتبصيره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بقدراته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ومواهبه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الذاتية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لت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ستفيدمنها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ولت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كونعضواًفعالاًومؤثراًفيمجتمعه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وأمته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C37FD8" w:rsidRPr="00C37FD8" w:rsidRDefault="00C37FD8" w:rsidP="00C37FD8">
            <w:pPr>
              <w:rPr>
                <w:rFonts w:ascii="Andalus" w:hAnsi="Andalus" w:cs="Andalus"/>
                <w:color w:val="E36C0A" w:themeColor="accent6" w:themeShade="BF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color w:val="E36C0A" w:themeColor="accent6" w:themeShade="BF"/>
                <w:sz w:val="44"/>
                <w:szCs w:val="44"/>
                <w:rtl/>
              </w:rPr>
              <w:t>ـــــــــــــــــــــــــــــــــــــــــــــــــــــــــــــــــــــــــــــــــــــــــــ</w:t>
            </w:r>
          </w:p>
          <w:p w:rsidR="00C37FD8" w:rsidRDefault="00C37FD8" w:rsidP="00DF23CD">
            <w:pPr>
              <w:rPr>
                <w:rFonts w:ascii="Andalus" w:hAnsi="Andalus" w:cs="Andalus"/>
                <w:color w:val="E36C0A" w:themeColor="accent6" w:themeShade="BF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color w:val="E36C0A" w:themeColor="accent6" w:themeShade="BF"/>
                <w:sz w:val="44"/>
                <w:szCs w:val="44"/>
                <w:rtl/>
              </w:rPr>
              <w:t xml:space="preserve">           الاهداف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1-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تقديمالخدماتالإرشاديةبأنواعهاالمختلفة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لطالبات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القسم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2- 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إيجادمرجعيةتخطيطيةوإداريةوإشراقيةعلىبرامجالإرشادبالقسم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3-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توجيهشخصيةالطالب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توجيهاسليماوتغييرنظرته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لنفسه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إلىالأفضلوإدراكالعلاقةبينه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وبينالآخرينوتحسينها،كمايهدفإلىتنميةالطاقاتوالقدراتالموجودةداخلالطالب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للاستفادةمنهافيتحسينمستواه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العلميوتمكنه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ا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منحل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مشكلاتها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بنفسه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واتخاذقراراته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بكفاءةوغيرذلكمنالجوانب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4-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تهيئة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الطالبة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للتعامل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 مع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مجتمعه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ابم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افيهمنقيموسلوكياتوتنوعوالتكيفمعذلكوتعزيزدورالطالب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فيالمساهمةفيخدمةالمجتمعوتنميته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lastRenderedPageBreak/>
              <w:t>5-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توعيةالطلاب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بأهميةالتوجيهوالإرشادالطلابيومجالاتهوأساليبالاستفادةمنه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6-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تعديلبعضالأنماطالسلوكيةلدىالطالباتوالتيلاتتفقمعالقيمالدينية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7-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مساعدةالطالباتعلىالتكيفداخلمجتمعالجامعةومساعدتهنعلىالتكيفداخلالقسمالذيالتحقنبه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8 -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مساعدةالطالباتعلىمواجهةالصعوباتوالمشكلاتالتييعانينمنهاسواءكانت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(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أسرية،اقتصادية،نفسية،اجتماعية،تعليمية،تربوية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)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وخاصةفيمايتعلقبمجتمعالجامعةوذلكباستخدامطرقالعلاجالمناسبةبالتعاونمعفريقالعمل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A31155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9-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إرشاد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إلىأهميةالمشاركةفيالأنشطةوالبرامجوالملتقياتوالمحاضراتوالدوراتوورشالعملالتيتوفرهالهن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الجامعة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وتحفيزهنعلىالاستفادةالقصوىمنهذهالأنشطةوالبرامجبمايعودعليهنبالفائدة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.</w:t>
            </w:r>
          </w:p>
          <w:p w:rsidR="00DF23CD" w:rsidRPr="00DF23CD" w:rsidRDefault="00DF23CD" w:rsidP="00A31155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10-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الإسهامفيإعدادبيئةتعليميةتربويةتساهمفيتكوينشخصيةمتوازنةلل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تحافظعلىهويتهاوانتمائهاوثوابتهاالوطنيةوتلتزمبتعاليمالدينالإسلامي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A31155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11-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تقديمخدماتالإرشادوالتوجيهالفرديوالجمعي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لطالبات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قسم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منخلالجلساتإرشاديةمنظمةتهدفإلىمساعدةالط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فيحل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مشكلاتهن.</w:t>
            </w:r>
          </w:p>
          <w:p w:rsidR="00DF23CD" w:rsidRPr="00DF23CD" w:rsidRDefault="00DF23CD" w:rsidP="00A31155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12-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رصدومتابعةالمظاهرالسلوكيةالسلبيةلل</w:t>
            </w:r>
            <w:r w:rsidR="00A31155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طالبات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داخلالجامعة،والعملعلىتقديمالحلولالمناسبةلها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13-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تعزيزثقافةالحواروالتعلموالمنافسةوالإبداعورعايةالطلبةالموهوبينوالمتفوقين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44"/>
                <w:szCs w:val="44"/>
                <w:u w:val="single"/>
                <w:rtl/>
              </w:rPr>
            </w:pPr>
            <w:r w:rsidRPr="00DF23CD">
              <w:rPr>
                <w:rFonts w:ascii="Andalus" w:hAnsi="Andalus" w:cs="Andalus" w:hint="cs"/>
                <w:color w:val="E36C0A" w:themeColor="accent6" w:themeShade="BF"/>
                <w:sz w:val="44"/>
                <w:szCs w:val="44"/>
                <w:u w:val="single"/>
                <w:rtl/>
              </w:rPr>
              <w:t>المهام: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1.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تنظيملقاءترحيبيوتعريفيللطالباتالمستجدات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.</w:t>
            </w:r>
          </w:p>
          <w:p w:rsidR="00DF23CD" w:rsidRPr="00DF23CD" w:rsidRDefault="00DF23CD" w:rsidP="003944A8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2.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توزيعمنشوراتتوضحمهام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وحدة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التوجيهوالإرشادومايقدمهمنخدماتللطالباتوشرحهالهن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3944A8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3. 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المشاركةفيالأنشطةالمتعلقةبتوعيةوتوجيهال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المس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تجدات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،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وتعريفهن بمنسقة القسم واعضاء القسم والاداريات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والمرافقالتييت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عاملن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معهاأثناء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دراستهن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الجامعية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4. 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تقديمالخدماتلأصحابالاحتياجاتالخاصةورعايةشؤونهم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5.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 xml:space="preserve"> رفعالغيابوالتأجيلعنالطالباتلظروفنفسيةأواجتماعية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6.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استقبالالحالاتالإرشادية،حيثيتمتخصيصخطةإرشاديةنفسيةلكلحالةحسبمقتضياتها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7.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متابعة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منحيثالالتزامبأنظمةوقوانينالكلية،وإرشادالحالاتالمحولةإليه،التيتكررتمخالفتهاللأنظمةمنحيثالزي،المشاحنات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..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الخ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8.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مساعدة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علىمواجهةالصعوباتالتي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يعانين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منهاسواءكانت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(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أسرية،اقتصادية،نفسية،اجتماعية،تعليمية،تربوية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)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وخاصةفيمايتعلقبمجتمعالكليةوذلكباستخدامطرقالعلاجالمناسبةبالتعاونمعفريقالعمل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3944A8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6.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دراسةحالاتال</w:t>
            </w:r>
            <w:r w:rsidR="003944A8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طالبات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الاقتصاديةواستكمالجميعالمستنداتالمطلوبةلصرفإعانةأوسلفهيتمتحصيلهادفعةواحدةأوعلىدفعاتوفقاًللقواعدالمقررةمايقدمه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7.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عملعلىتعديلبعضالسلوكياتالسلبيةوالتيلاتتفقمعالقيمالدينيةوذلكعنطريقالتوجيهالمباشرمنخلالالجلساتالإرشاديةأوالتوجيهغيرمباشرمنخلالتنظيمبرامجلمعالجةهذهالسلوكيات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8.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بتنظيمبرامجوأنشطةمختلفة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(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محاضرات،دورات،ورشعمل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)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الهدفمنهاتطويرمهاراتالطالباتفيالمجالاتالمختلفةوتعديلالسلوكياتغيرمناسبةبطرقغيرمباشرة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9.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دراسةشكاويالطالباتالمتعلقةبمرافقالكليةوالعملعلىحلهابالتعاونمعالجهاتذاتالعلاقة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. . 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10.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القيامببعضجوانبالإرشادكالإرشادالنفسوالاجتماعيوالتوعويوالوقائي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(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تنفيذ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– 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تنسيق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 xml:space="preserve"> ).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11.</w:t>
            </w:r>
            <w:r w:rsidRPr="00DF23CD">
              <w:rPr>
                <w:rFonts w:ascii="Andalus" w:hAnsi="Andalus" w:cs="Andalus" w:hint="cs"/>
                <w:color w:val="E36C0A" w:themeColor="accent6" w:themeShade="BF"/>
                <w:sz w:val="32"/>
                <w:szCs w:val="32"/>
                <w:rtl/>
              </w:rPr>
              <w:t>حصرالمخالفاتالصادرةمنالطالباتوإحالةمايتكررمنهاإلىلجانالتأديبفيالإداراتالعليا</w:t>
            </w:r>
            <w:r w:rsidRPr="00DF23CD"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  <w:t>.</w:t>
            </w:r>
          </w:p>
          <w:p w:rsidR="00DF23CD" w:rsidRPr="00DF23CD" w:rsidRDefault="00DF23CD" w:rsidP="00DF23CD">
            <w:pPr>
              <w:rPr>
                <w:rFonts w:ascii="Andalus" w:hAnsi="Andalus" w:cs="Andalus"/>
                <w:color w:val="E36C0A" w:themeColor="accent6" w:themeShade="BF"/>
                <w:sz w:val="32"/>
                <w:szCs w:val="32"/>
                <w:rtl/>
              </w:rPr>
            </w:pPr>
          </w:p>
          <w:p w:rsidR="00C37FD8" w:rsidRDefault="00C37FD8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DF23CD" w:rsidRDefault="00DF23CD" w:rsidP="00D161F6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F23CD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37FD8" w:rsidRPr="0010539E" w:rsidRDefault="00C37FD8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CB04C1">
        <w:tc>
          <w:tcPr>
            <w:tcW w:w="18518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7A59">
              <w:rPr>
                <w:rFonts w:asciiTheme="majorBidi" w:hAnsiTheme="majorBidi" w:cs="Hesham Bold" w:hint="cs"/>
                <w:color w:val="002060"/>
                <w:sz w:val="28"/>
                <w:szCs w:val="28"/>
                <w:rtl/>
              </w:rPr>
              <w:lastRenderedPageBreak/>
              <w:t>أ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نشطة  الوحدة /  اللجنة وفعالياتها 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shd w:val="clear" w:color="auto" w:fill="E5B8B7" w:themeFill="accent2" w:themeFillTint="66"/>
                <w:rtl/>
              </w:rPr>
              <w:t>(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>خلال الفصل الدراسي الثاني)</w:t>
            </w:r>
          </w:p>
        </w:tc>
      </w:tr>
      <w:tr w:rsidR="0010539E" w:rsidRPr="0010539E" w:rsidTr="00CB04C1">
        <w:tc>
          <w:tcPr>
            <w:tcW w:w="4436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2403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المشرف</w:t>
            </w:r>
          </w:p>
        </w:tc>
        <w:tc>
          <w:tcPr>
            <w:tcW w:w="3563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3565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4551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الانعقاد</w:t>
            </w:r>
          </w:p>
        </w:tc>
      </w:tr>
      <w:tr w:rsidR="005B7877" w:rsidRPr="0010539E" w:rsidTr="00CB04C1">
        <w:tc>
          <w:tcPr>
            <w:tcW w:w="4436" w:type="dxa"/>
          </w:tcPr>
          <w:p w:rsidR="005B7877" w:rsidRPr="00CB04C1" w:rsidRDefault="00CB04C1" w:rsidP="00CB04C1">
            <w:pPr>
              <w:tabs>
                <w:tab w:val="left" w:pos="1260"/>
                <w:tab w:val="center" w:pos="2110"/>
              </w:tabs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EG"/>
              </w:rPr>
            </w:pPr>
            <w:r w:rsidRPr="00CB04C1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ab/>
            </w:r>
            <w:r w:rsidR="005B7877" w:rsidRPr="00CB04C1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نحو إيجابيه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أفضل</w:t>
            </w:r>
          </w:p>
        </w:tc>
        <w:tc>
          <w:tcPr>
            <w:tcW w:w="2403" w:type="dxa"/>
            <w:gridSpan w:val="2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أ/ بثينه السكران</w:t>
            </w:r>
          </w:p>
        </w:tc>
        <w:tc>
          <w:tcPr>
            <w:tcW w:w="11679" w:type="dxa"/>
            <w:gridSpan w:val="3"/>
            <w:vMerge w:val="restart"/>
          </w:tcPr>
          <w:p w:rsidR="005B7877" w:rsidRDefault="005B787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B7877" w:rsidRDefault="005B787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B7877" w:rsidRDefault="005B787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B7877" w:rsidRDefault="005B7877" w:rsidP="005B78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B7877" w:rsidRDefault="005B7877" w:rsidP="005B78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B7877" w:rsidRPr="0010539E" w:rsidRDefault="005B7877" w:rsidP="005B78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خلال الفصل الدراسي الثاني</w:t>
            </w:r>
          </w:p>
        </w:tc>
      </w:tr>
      <w:tr w:rsidR="005B7877" w:rsidRPr="0010539E" w:rsidTr="00CB04C1">
        <w:tc>
          <w:tcPr>
            <w:tcW w:w="4436" w:type="dxa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تهيئة طالبات الثالث ثانوي للتعليم الجامعي</w:t>
            </w:r>
          </w:p>
        </w:tc>
        <w:tc>
          <w:tcPr>
            <w:tcW w:w="2403" w:type="dxa"/>
            <w:gridSpan w:val="2"/>
          </w:tcPr>
          <w:p w:rsidR="00DF23CD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 xml:space="preserve">أ/ عمشاء </w:t>
            </w:r>
          </w:p>
          <w:p w:rsidR="005B7877" w:rsidRPr="00DF23CD" w:rsidRDefault="00DF23CD" w:rsidP="00DF23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F23CD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الجروان</w:t>
            </w:r>
          </w:p>
        </w:tc>
        <w:tc>
          <w:tcPr>
            <w:tcW w:w="11679" w:type="dxa"/>
            <w:gridSpan w:val="3"/>
            <w:vMerge/>
          </w:tcPr>
          <w:p w:rsidR="005B7877" w:rsidRPr="0010539E" w:rsidRDefault="005B787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B7877" w:rsidRPr="0010539E" w:rsidTr="00CB04C1">
        <w:tc>
          <w:tcPr>
            <w:tcW w:w="4436" w:type="dxa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رعاية الموهوبات</w:t>
            </w:r>
          </w:p>
        </w:tc>
        <w:tc>
          <w:tcPr>
            <w:tcW w:w="2403" w:type="dxa"/>
            <w:gridSpan w:val="2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أ/ريم المطيري</w:t>
            </w:r>
          </w:p>
        </w:tc>
        <w:tc>
          <w:tcPr>
            <w:tcW w:w="11679" w:type="dxa"/>
            <w:gridSpan w:val="3"/>
            <w:vMerge/>
          </w:tcPr>
          <w:p w:rsidR="005B7877" w:rsidRPr="0010539E" w:rsidRDefault="005B787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B7877" w:rsidRPr="0010539E" w:rsidTr="00CB04C1">
        <w:tc>
          <w:tcPr>
            <w:tcW w:w="4436" w:type="dxa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الاتصال الفعال</w:t>
            </w:r>
          </w:p>
        </w:tc>
        <w:tc>
          <w:tcPr>
            <w:tcW w:w="2403" w:type="dxa"/>
            <w:gridSpan w:val="2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_</w:t>
            </w:r>
          </w:p>
        </w:tc>
        <w:tc>
          <w:tcPr>
            <w:tcW w:w="11679" w:type="dxa"/>
            <w:gridSpan w:val="3"/>
            <w:vMerge/>
          </w:tcPr>
          <w:p w:rsidR="005B7877" w:rsidRPr="0010539E" w:rsidRDefault="005B787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B7877" w:rsidRPr="0010539E" w:rsidTr="00CB04C1">
        <w:tc>
          <w:tcPr>
            <w:tcW w:w="4436" w:type="dxa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 xml:space="preserve">دورات تأهيليه لطالبات الثالث ثانوي </w:t>
            </w:r>
          </w:p>
        </w:tc>
        <w:tc>
          <w:tcPr>
            <w:tcW w:w="2403" w:type="dxa"/>
            <w:gridSpan w:val="2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_</w:t>
            </w:r>
          </w:p>
        </w:tc>
        <w:tc>
          <w:tcPr>
            <w:tcW w:w="11679" w:type="dxa"/>
            <w:gridSpan w:val="3"/>
            <w:vMerge/>
          </w:tcPr>
          <w:p w:rsidR="005B7877" w:rsidRPr="0010539E" w:rsidRDefault="005B787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B7877" w:rsidRPr="0010539E" w:rsidTr="00CB04C1">
        <w:tc>
          <w:tcPr>
            <w:tcW w:w="4436" w:type="dxa"/>
          </w:tcPr>
          <w:p w:rsidR="005B7877" w:rsidRPr="005B7877" w:rsidRDefault="00000638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 xml:space="preserve">دورات </w:t>
            </w:r>
            <w:r w:rsidR="005B7877" w:rsidRPr="005B7877"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تأهيليه لرعاية الموهوبات</w:t>
            </w:r>
          </w:p>
        </w:tc>
        <w:tc>
          <w:tcPr>
            <w:tcW w:w="2403" w:type="dxa"/>
            <w:gridSpan w:val="2"/>
          </w:tcPr>
          <w:p w:rsidR="005B7877" w:rsidRPr="005B7877" w:rsidRDefault="005B7877" w:rsidP="00D161F6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E36C0A" w:themeColor="accent6" w:themeShade="BF"/>
                <w:sz w:val="28"/>
                <w:szCs w:val="28"/>
                <w:rtl/>
              </w:rPr>
              <w:t>_</w:t>
            </w:r>
          </w:p>
        </w:tc>
        <w:tc>
          <w:tcPr>
            <w:tcW w:w="11679" w:type="dxa"/>
            <w:gridSpan w:val="3"/>
            <w:vMerge/>
          </w:tcPr>
          <w:p w:rsidR="005B7877" w:rsidRPr="0010539E" w:rsidRDefault="005B787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CB04C1">
        <w:tc>
          <w:tcPr>
            <w:tcW w:w="18518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تقاريرأنشطة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واجتماعات اللجنة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CB04C1">
        <w:trPr>
          <w:trHeight w:val="368"/>
        </w:trPr>
        <w:tc>
          <w:tcPr>
            <w:tcW w:w="6784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11734" w:type="dxa"/>
            <w:gridSpan w:val="4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10539E" w:rsidRPr="0010539E" w:rsidTr="00CB04C1">
        <w:tc>
          <w:tcPr>
            <w:tcW w:w="6784" w:type="dxa"/>
            <w:gridSpan w:val="2"/>
          </w:tcPr>
          <w:p w:rsidR="0010539E" w:rsidRPr="0010539E" w:rsidRDefault="00DF23C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تقرير أنشطة وحدة التوجيه والإرشاد للفصل الدراسي الأول للعام 1434-1435هـ</w:t>
            </w:r>
          </w:p>
        </w:tc>
        <w:tc>
          <w:tcPr>
            <w:tcW w:w="11734" w:type="dxa"/>
            <w:gridSpan w:val="4"/>
          </w:tcPr>
          <w:p w:rsidR="0010539E" w:rsidRPr="0010539E" w:rsidRDefault="00105638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05638">
              <w:rPr>
                <w:rFonts w:asciiTheme="majorBidi" w:hAnsiTheme="majorBidi" w:cstheme="majorBidi"/>
                <w:sz w:val="28"/>
                <w:szCs w:val="28"/>
              </w:rPr>
              <w:t>http://cutt.us/8cYw</w:t>
            </w:r>
          </w:p>
        </w:tc>
      </w:tr>
      <w:tr w:rsidR="00A1448E" w:rsidRPr="0010539E" w:rsidTr="00CB04C1">
        <w:tc>
          <w:tcPr>
            <w:tcW w:w="6784" w:type="dxa"/>
            <w:gridSpan w:val="2"/>
          </w:tcPr>
          <w:p w:rsidR="00A1448E" w:rsidRDefault="00A1448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تقرير أنشطة وحدة التوجيه والإرشاد للفصل الدراسي الأول للعام 1434-1435هـ</w:t>
            </w:r>
          </w:p>
          <w:p w:rsidR="00A1448E" w:rsidRDefault="00A1448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(تقرير المخدرات)</w:t>
            </w:r>
          </w:p>
        </w:tc>
        <w:tc>
          <w:tcPr>
            <w:tcW w:w="11734" w:type="dxa"/>
            <w:gridSpan w:val="4"/>
          </w:tcPr>
          <w:p w:rsidR="00A1448E" w:rsidRPr="00105638" w:rsidRDefault="00A1448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448E">
              <w:rPr>
                <w:rFonts w:asciiTheme="majorBidi" w:hAnsiTheme="majorBidi" w:cstheme="majorBidi"/>
                <w:sz w:val="28"/>
                <w:szCs w:val="28"/>
              </w:rPr>
              <w:t>http://cutt.us/lw5Z</w:t>
            </w:r>
          </w:p>
        </w:tc>
      </w:tr>
      <w:tr w:rsidR="0010539E" w:rsidRPr="0010539E" w:rsidTr="00CB04C1">
        <w:tc>
          <w:tcPr>
            <w:tcW w:w="18518" w:type="dxa"/>
            <w:gridSpan w:val="6"/>
            <w:shd w:val="clear" w:color="auto" w:fill="D6E3BC" w:themeFill="accent3" w:themeFillTint="66"/>
          </w:tcPr>
          <w:p w:rsidR="0010539E" w:rsidRPr="0010539E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نماذج اللجنة 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</w:p>
        </w:tc>
      </w:tr>
      <w:tr w:rsidR="003C3C92" w:rsidRPr="0010539E" w:rsidTr="00CB04C1">
        <w:tc>
          <w:tcPr>
            <w:tcW w:w="6784" w:type="dxa"/>
            <w:gridSpan w:val="2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النموذج</w:t>
            </w:r>
          </w:p>
        </w:tc>
        <w:tc>
          <w:tcPr>
            <w:tcW w:w="11734" w:type="dxa"/>
            <w:gridSpan w:val="4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3C3C92" w:rsidRPr="0010539E" w:rsidTr="00CB04C1">
        <w:tc>
          <w:tcPr>
            <w:tcW w:w="6784" w:type="dxa"/>
            <w:gridSpan w:val="2"/>
          </w:tcPr>
          <w:p w:rsidR="003C3C92" w:rsidRDefault="00105638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خطة التوجيه والارشاد للفصل الدراسي الثاني للعام 1434-1435هـ</w:t>
            </w:r>
          </w:p>
        </w:tc>
        <w:tc>
          <w:tcPr>
            <w:tcW w:w="11734" w:type="dxa"/>
            <w:gridSpan w:val="4"/>
          </w:tcPr>
          <w:p w:rsidR="003C3C92" w:rsidRDefault="00105638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05638">
              <w:rPr>
                <w:rFonts w:asciiTheme="majorBidi" w:hAnsiTheme="majorBidi" w:cstheme="majorBidi"/>
                <w:sz w:val="28"/>
                <w:szCs w:val="28"/>
              </w:rPr>
              <w:t>http://cutt.us/jSx5</w:t>
            </w:r>
          </w:p>
        </w:tc>
      </w:tr>
    </w:tbl>
    <w:p w:rsidR="00683BA3" w:rsidRDefault="00683BA3" w:rsidP="00D161F6">
      <w:pPr>
        <w:jc w:val="center"/>
      </w:pPr>
    </w:p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0539E"/>
    <w:rsid w:val="00000638"/>
    <w:rsid w:val="0010539E"/>
    <w:rsid w:val="00105638"/>
    <w:rsid w:val="00192A0E"/>
    <w:rsid w:val="003944A8"/>
    <w:rsid w:val="003C3C92"/>
    <w:rsid w:val="004542A8"/>
    <w:rsid w:val="0046418B"/>
    <w:rsid w:val="005B7877"/>
    <w:rsid w:val="006631F2"/>
    <w:rsid w:val="00683BA3"/>
    <w:rsid w:val="006C5DF5"/>
    <w:rsid w:val="006E6E63"/>
    <w:rsid w:val="00785A59"/>
    <w:rsid w:val="009B09A6"/>
    <w:rsid w:val="00A1448E"/>
    <w:rsid w:val="00A31155"/>
    <w:rsid w:val="00BC7BDF"/>
    <w:rsid w:val="00C055F7"/>
    <w:rsid w:val="00C37FD8"/>
    <w:rsid w:val="00CB04C1"/>
    <w:rsid w:val="00D161F6"/>
    <w:rsid w:val="00DB6441"/>
    <w:rsid w:val="00DF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6E6E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6E6E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6</cp:revision>
  <dcterms:created xsi:type="dcterms:W3CDTF">2014-02-27T10:10:00Z</dcterms:created>
  <dcterms:modified xsi:type="dcterms:W3CDTF">2014-04-06T18:25:00Z</dcterms:modified>
</cp:coreProperties>
</file>