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59" w:rsidRDefault="00B97459" w:rsidP="00B97459">
      <w:pPr>
        <w:spacing w:after="0"/>
        <w:jc w:val="center"/>
        <w:outlineLvl w:val="0"/>
        <w:rPr>
          <w:rFonts w:cs="GE SS Text Light"/>
          <w:color w:val="BBA656"/>
          <w:sz w:val="32"/>
          <w:szCs w:val="32"/>
          <w:rtl/>
        </w:rPr>
      </w:pPr>
      <w:bookmarkStart w:id="0" w:name="_GoBack"/>
      <w:r w:rsidRPr="0061327D">
        <w:rPr>
          <w:rFonts w:ascii="AdobeArabic-Regular" w:cs="GE SS Text Light" w:hint="cs"/>
          <w:color w:val="000000"/>
          <w:sz w:val="24"/>
          <w:szCs w:val="24"/>
          <w:rtl/>
        </w:rPr>
        <w:t>الخدمات التي تقدمها كلية التربية بالزلفي للطلاب وأعداد المستفيدين منها.</w:t>
      </w:r>
    </w:p>
    <w:bookmarkEnd w:id="0"/>
    <w:p w:rsidR="00B97459" w:rsidRDefault="00B97459" w:rsidP="00B97459">
      <w:pPr>
        <w:spacing w:line="360" w:lineRule="auto"/>
        <w:jc w:val="both"/>
        <w:rPr>
          <w:rFonts w:ascii="GESSTextBold-Bold" w:eastAsia="Calibri" w:hAnsi="Calibri" w:cs="GE SS Text Light" w:hint="cs"/>
          <w:sz w:val="24"/>
          <w:szCs w:val="24"/>
          <w:rtl/>
        </w:rPr>
      </w:pPr>
    </w:p>
    <w:p w:rsidR="00B97459" w:rsidRDefault="00B97459" w:rsidP="00B97459">
      <w:pPr>
        <w:pStyle w:val="a4"/>
        <w:numPr>
          <w:ilvl w:val="0"/>
          <w:numId w:val="1"/>
        </w:numPr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</w:rPr>
      </w:pPr>
      <w:r w:rsidRPr="00595E9B">
        <w:rPr>
          <w:rFonts w:ascii="GESSTextBold-Bold" w:eastAsia="Calibri" w:hAnsi="Calibri" w:cs="GE SS Text Light" w:hint="cs"/>
          <w:sz w:val="24"/>
          <w:szCs w:val="24"/>
          <w:rtl/>
        </w:rPr>
        <w:t>الإنجازات المتعلقة بالخدمات الطلابية بالتعاون مع عمادة شؤون الطلاب بالجامعة حيث تم العمل على توسيع التغذية الطلابية من مكائن البيع الذاتي والبوفيهات</w:t>
      </w:r>
      <w:r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B97459" w:rsidRDefault="00B97459" w:rsidP="00B97459">
      <w:pPr>
        <w:spacing w:after="0"/>
        <w:jc w:val="center"/>
        <w:outlineLvl w:val="0"/>
        <w:rPr>
          <w:rFonts w:cs="GE SS Text Light"/>
          <w:color w:val="BBA656"/>
          <w:sz w:val="32"/>
          <w:szCs w:val="32"/>
          <w:rtl/>
        </w:rPr>
      </w:pPr>
      <w:r w:rsidRPr="0061327D">
        <w:rPr>
          <w:rFonts w:ascii="AdobeArabic-Regular" w:cs="GE SS Text Light" w:hint="cs"/>
          <w:color w:val="000000"/>
          <w:sz w:val="24"/>
          <w:szCs w:val="24"/>
          <w:rtl/>
        </w:rPr>
        <w:t>الخدمات التي تقدمها كلية التربية بالزلفي للطلاب وأعداد المستفيدين منها.</w:t>
      </w:r>
    </w:p>
    <w:p w:rsidR="00B97459" w:rsidRDefault="00B97459" w:rsidP="00B97459">
      <w:pPr>
        <w:spacing w:after="0"/>
        <w:jc w:val="center"/>
        <w:outlineLvl w:val="0"/>
        <w:rPr>
          <w:rFonts w:cs="GE SS Text Light"/>
          <w:color w:val="BBA656"/>
          <w:sz w:val="32"/>
          <w:szCs w:val="32"/>
          <w:rtl/>
        </w:rPr>
      </w:pPr>
    </w:p>
    <w:tbl>
      <w:tblPr>
        <w:tblStyle w:val="a3"/>
        <w:bidiVisual/>
        <w:tblW w:w="9442" w:type="dxa"/>
        <w:tblInd w:w="106" w:type="dxa"/>
        <w:tblLook w:val="04A0" w:firstRow="1" w:lastRow="0" w:firstColumn="1" w:lastColumn="0" w:noHBand="0" w:noVBand="1"/>
      </w:tblPr>
      <w:tblGrid>
        <w:gridCol w:w="2410"/>
        <w:gridCol w:w="2046"/>
        <w:gridCol w:w="1980"/>
        <w:gridCol w:w="3006"/>
      </w:tblGrid>
      <w:tr w:rsidR="00B97459" w:rsidRPr="00816D74" w:rsidTr="00E32C74">
        <w:tc>
          <w:tcPr>
            <w:tcW w:w="2410" w:type="dxa"/>
            <w:shd w:val="clear" w:color="auto" w:fill="BBA656"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الخدمة</w:t>
            </w:r>
            <w:proofErr w:type="gramEnd"/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المقدمة</w:t>
            </w:r>
          </w:p>
        </w:tc>
        <w:tc>
          <w:tcPr>
            <w:tcW w:w="2046" w:type="dxa"/>
            <w:shd w:val="clear" w:color="auto" w:fill="BBA656"/>
          </w:tcPr>
          <w:p w:rsidR="00B97459" w:rsidRPr="00943F99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مسئول</w:t>
            </w:r>
            <w:proofErr w:type="gramEnd"/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التنفيذ</w:t>
            </w:r>
          </w:p>
        </w:tc>
        <w:tc>
          <w:tcPr>
            <w:tcW w:w="1980" w:type="dxa"/>
            <w:shd w:val="clear" w:color="auto" w:fill="BBA656"/>
          </w:tcPr>
          <w:p w:rsidR="00B97459" w:rsidRPr="00943F99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3006" w:type="dxa"/>
            <w:shd w:val="clear" w:color="auto" w:fill="BBA656"/>
          </w:tcPr>
          <w:p w:rsidR="00B97459" w:rsidRPr="00943F99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نسبة </w:t>
            </w:r>
            <w:proofErr w:type="gramStart"/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المستفيدين</w:t>
            </w:r>
            <w:proofErr w:type="gramEnd"/>
            <w:r w:rsidRPr="00943F9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إلى طلاب الكلية</w:t>
            </w:r>
          </w:p>
        </w:tc>
      </w:tr>
      <w:tr w:rsidR="00B97459" w:rsidRPr="00816D74" w:rsidTr="00E32C74">
        <w:trPr>
          <w:trHeight w:val="466"/>
        </w:trPr>
        <w:tc>
          <w:tcPr>
            <w:tcW w:w="2410" w:type="dxa"/>
            <w:shd w:val="clear" w:color="auto" w:fill="BBA656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C556D1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الإسكان</w:t>
            </w:r>
            <w:proofErr w:type="gramEnd"/>
            <w:r w:rsidRPr="00C556D1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 xml:space="preserve"> الجامعي</w:t>
            </w:r>
          </w:p>
        </w:tc>
        <w:tc>
          <w:tcPr>
            <w:tcW w:w="2046" w:type="dxa"/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proofErr w:type="gramStart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إدارة</w:t>
            </w:r>
            <w:proofErr w:type="gramEnd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 xml:space="preserve"> الإسكان</w:t>
            </w:r>
          </w:p>
        </w:tc>
        <w:tc>
          <w:tcPr>
            <w:tcW w:w="1980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85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ascii="AdobeArabic-Regular" w:eastAsia="Calibri" w:hAnsi="AdobeArabic-Regular" w:cs="GE SS Text Light" w:hint="cs"/>
                <w:color w:val="000000" w:themeColor="text1"/>
                <w:sz w:val="20"/>
                <w:szCs w:val="20"/>
                <w:rtl/>
              </w:rPr>
              <w:t>2.2%</w:t>
            </w:r>
          </w:p>
        </w:tc>
      </w:tr>
      <w:tr w:rsidR="00B97459" w:rsidRPr="00816D74" w:rsidTr="00E32C74">
        <w:trPr>
          <w:trHeight w:val="414"/>
        </w:trPr>
        <w:tc>
          <w:tcPr>
            <w:tcW w:w="2410" w:type="dxa"/>
            <w:shd w:val="clear" w:color="auto" w:fill="BBA656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التغذية</w:t>
            </w:r>
          </w:p>
        </w:tc>
        <w:tc>
          <w:tcPr>
            <w:tcW w:w="2046" w:type="dxa"/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عمادة شؤون الطلاب</w:t>
            </w:r>
          </w:p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</w:p>
        </w:tc>
        <w:tc>
          <w:tcPr>
            <w:tcW w:w="1980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1700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45%</w:t>
            </w:r>
          </w:p>
        </w:tc>
      </w:tr>
      <w:tr w:rsidR="00B97459" w:rsidRPr="00816D74" w:rsidTr="00E32C74">
        <w:trPr>
          <w:trHeight w:val="453"/>
        </w:trPr>
        <w:tc>
          <w:tcPr>
            <w:tcW w:w="2410" w:type="dxa"/>
            <w:shd w:val="clear" w:color="auto" w:fill="BBA656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C556D1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الرعاية</w:t>
            </w:r>
            <w:proofErr w:type="gramEnd"/>
            <w:r w:rsidRPr="00C556D1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 xml:space="preserve"> الصحية</w:t>
            </w:r>
          </w:p>
        </w:tc>
        <w:tc>
          <w:tcPr>
            <w:tcW w:w="2046" w:type="dxa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proofErr w:type="gramStart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إدارة</w:t>
            </w:r>
            <w:proofErr w:type="gramEnd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 xml:space="preserve"> الخدمات الطبية</w:t>
            </w:r>
          </w:p>
        </w:tc>
        <w:tc>
          <w:tcPr>
            <w:tcW w:w="1980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560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14%</w:t>
            </w:r>
          </w:p>
        </w:tc>
      </w:tr>
      <w:tr w:rsidR="00B97459" w:rsidRPr="00816D74" w:rsidTr="00E32C74">
        <w:trPr>
          <w:trHeight w:val="430"/>
        </w:trPr>
        <w:tc>
          <w:tcPr>
            <w:tcW w:w="2410" w:type="dxa"/>
            <w:shd w:val="clear" w:color="auto" w:fill="BBA656"/>
          </w:tcPr>
          <w:p w:rsidR="00B97459" w:rsidRPr="00943F99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التوجيه</w:t>
            </w:r>
            <w:proofErr w:type="gramEnd"/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 xml:space="preserve"> التربوي</w:t>
            </w:r>
          </w:p>
        </w:tc>
        <w:tc>
          <w:tcPr>
            <w:tcW w:w="2046" w:type="dxa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 xml:space="preserve">د. حمزة عياصرة  </w:t>
            </w:r>
            <w:proofErr w:type="spellStart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وأ</w:t>
            </w:r>
            <w:proofErr w:type="spellEnd"/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. نهلة الزين</w:t>
            </w:r>
          </w:p>
        </w:tc>
        <w:tc>
          <w:tcPr>
            <w:tcW w:w="1980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278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7 %</w:t>
            </w:r>
          </w:p>
        </w:tc>
      </w:tr>
      <w:tr w:rsidR="00B97459" w:rsidRPr="00816D74" w:rsidTr="00E32C74">
        <w:trPr>
          <w:trHeight w:val="505"/>
        </w:trPr>
        <w:tc>
          <w:tcPr>
            <w:tcW w:w="2410" w:type="dxa"/>
            <w:shd w:val="clear" w:color="auto" w:fill="BBA656"/>
          </w:tcPr>
          <w:p w:rsidR="00B97459" w:rsidRPr="00943F99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صناديق الأمانات</w:t>
            </w:r>
          </w:p>
        </w:tc>
        <w:tc>
          <w:tcPr>
            <w:tcW w:w="204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عمادة شؤن الطلاب</w:t>
            </w:r>
          </w:p>
        </w:tc>
        <w:tc>
          <w:tcPr>
            <w:tcW w:w="1980" w:type="dxa"/>
            <w:vAlign w:val="center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1350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36%</w:t>
            </w:r>
          </w:p>
        </w:tc>
      </w:tr>
      <w:tr w:rsidR="00B97459" w:rsidRPr="00816D74" w:rsidTr="00E32C74">
        <w:trPr>
          <w:trHeight w:val="413"/>
        </w:trPr>
        <w:tc>
          <w:tcPr>
            <w:tcW w:w="2410" w:type="dxa"/>
            <w:shd w:val="clear" w:color="auto" w:fill="BBA656"/>
          </w:tcPr>
          <w:p w:rsidR="00B97459" w:rsidRPr="00943F99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المواصلات</w:t>
            </w:r>
          </w:p>
        </w:tc>
        <w:tc>
          <w:tcPr>
            <w:tcW w:w="2046" w:type="dxa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وحدة النقل في إدارة المرافق</w:t>
            </w:r>
          </w:p>
        </w:tc>
        <w:tc>
          <w:tcPr>
            <w:tcW w:w="1980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1700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lang w:bidi="ar-EG"/>
              </w:rPr>
            </w:pPr>
            <w:r w:rsidRPr="001E6D2E"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  <w:t>45%</w:t>
            </w:r>
          </w:p>
        </w:tc>
      </w:tr>
      <w:tr w:rsidR="00B97459" w:rsidRPr="00816D74" w:rsidTr="00E32C74">
        <w:trPr>
          <w:trHeight w:val="418"/>
        </w:trPr>
        <w:tc>
          <w:tcPr>
            <w:tcW w:w="2410" w:type="dxa"/>
            <w:shd w:val="clear" w:color="auto" w:fill="BBA656"/>
          </w:tcPr>
          <w:p w:rsidR="00B97459" w:rsidRPr="00943F99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تقديم</w:t>
            </w:r>
            <w:proofErr w:type="gramEnd"/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 xml:space="preserve"> وجبات غذائية</w:t>
            </w:r>
          </w:p>
        </w:tc>
        <w:tc>
          <w:tcPr>
            <w:tcW w:w="2046" w:type="dxa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عمادة شؤون الطلاب</w:t>
            </w:r>
          </w:p>
        </w:tc>
        <w:tc>
          <w:tcPr>
            <w:tcW w:w="1980" w:type="dxa"/>
            <w:vAlign w:val="center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proofErr w:type="spellStart"/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8500</w:t>
            </w:r>
            <w:proofErr w:type="gramStart"/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في</w:t>
            </w:r>
            <w:proofErr w:type="spellEnd"/>
            <w:proofErr w:type="gramEnd"/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 xml:space="preserve"> المجمع كله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227 %</w:t>
            </w:r>
          </w:p>
        </w:tc>
      </w:tr>
      <w:tr w:rsidR="00B97459" w:rsidRPr="00816D74" w:rsidTr="00E32C74">
        <w:tc>
          <w:tcPr>
            <w:tcW w:w="2410" w:type="dxa"/>
            <w:shd w:val="clear" w:color="auto" w:fill="BBA656"/>
          </w:tcPr>
          <w:p w:rsidR="00B97459" w:rsidRPr="00943F99" w:rsidRDefault="00B97459" w:rsidP="00E32C74">
            <w:pPr>
              <w:spacing w:line="276" w:lineRule="auto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 xml:space="preserve">تقديم وجبات خفيفة </w:t>
            </w:r>
            <w:proofErr w:type="gramStart"/>
            <w:r w:rsidRPr="00943F99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ومشروبات</w:t>
            </w:r>
            <w:proofErr w:type="gramEnd"/>
          </w:p>
        </w:tc>
        <w:tc>
          <w:tcPr>
            <w:tcW w:w="2046" w:type="dxa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عمادة شؤون الطلاب</w:t>
            </w:r>
          </w:p>
        </w:tc>
        <w:tc>
          <w:tcPr>
            <w:tcW w:w="1980" w:type="dxa"/>
            <w:vAlign w:val="center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2500</w:t>
            </w:r>
          </w:p>
        </w:tc>
        <w:tc>
          <w:tcPr>
            <w:tcW w:w="3006" w:type="dxa"/>
          </w:tcPr>
          <w:p w:rsidR="00B97459" w:rsidRPr="001E6D2E" w:rsidRDefault="00B97459" w:rsidP="00E32C74">
            <w:pPr>
              <w:spacing w:line="276" w:lineRule="auto"/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1E6D2E"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66%</w:t>
            </w:r>
          </w:p>
        </w:tc>
      </w:tr>
    </w:tbl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  <w:rtl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  <w:r>
        <w:rPr>
          <w:rFonts w:cs="GE SS Text Light"/>
          <w:noProof/>
          <w:color w:val="BBA65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AC5884A" wp14:editId="570A45FD">
            <wp:simplePos x="0" y="0"/>
            <wp:positionH relativeFrom="column">
              <wp:posOffset>-180975</wp:posOffset>
            </wp:positionH>
            <wp:positionV relativeFrom="paragraph">
              <wp:posOffset>231140</wp:posOffset>
            </wp:positionV>
            <wp:extent cx="5417185" cy="2543175"/>
            <wp:effectExtent l="19050" t="0" r="12065" b="0"/>
            <wp:wrapNone/>
            <wp:docPr id="4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Default="00B97459" w:rsidP="00B97459">
      <w:pPr>
        <w:bidi w:val="0"/>
        <w:rPr>
          <w:rFonts w:cs="GE SS Text Light"/>
          <w:color w:val="BBA656"/>
          <w:sz w:val="32"/>
          <w:szCs w:val="32"/>
        </w:rPr>
      </w:pPr>
    </w:p>
    <w:p w:rsidR="00B97459" w:rsidRPr="00E057FA" w:rsidRDefault="00B97459" w:rsidP="00B97459">
      <w:pPr>
        <w:tabs>
          <w:tab w:val="left" w:pos="84"/>
        </w:tabs>
        <w:jc w:val="both"/>
        <w:rPr>
          <w:rFonts w:cs="GE SS Text Light"/>
          <w:color w:val="BBA656"/>
          <w:sz w:val="32"/>
          <w:szCs w:val="32"/>
          <w:rtl/>
        </w:rPr>
      </w:pPr>
      <w:r>
        <w:rPr>
          <w:rFonts w:cs="GE SS Text Light"/>
          <w:sz w:val="24"/>
          <w:szCs w:val="24"/>
        </w:rPr>
        <w:lastRenderedPageBreak/>
        <w:t xml:space="preserve"> </w:t>
      </w:r>
      <w:r w:rsidRPr="00C556D1">
        <w:rPr>
          <w:rFonts w:cs="GE SS Text Light" w:hint="cs"/>
          <w:sz w:val="24"/>
          <w:szCs w:val="24"/>
          <w:rtl/>
        </w:rPr>
        <w:t xml:space="preserve">يلاحظ أن الخدمات تتنوع لتغطي جوانب عدة من حاجات المستفيدين ، وقد استحوذت خدمات الوجبات الغذائية على المرتبة الأولى بحيث استفاد منها ( 8500 ) طالب وطالبة في مجمع الكليات بالزلفي ، واستفاد من خدمات تقديم الوجبات الخفيفة والمشروبات ( 2500 ) من الطلاب و الطالبات ، ثم خدمات المواصلات والتغذية بحيث استفاد منها ( 1700 ) لكل منهما ، ثم خدمات صناديق الأمانات حيث استفاد منها (1350 ) ، وتلتها خدمات الرعاية الصحية والتي استفاد منها ( 560 ) من الطلبة ، وتأتي خدمات التوجيه التربوي بعد ذلك حيث استفاد منها ( 278 ) من الطلبة ، واستفاد من الإسكان الجامعي ( 85 ) . </w:t>
      </w:r>
    </w:p>
    <w:p w:rsidR="00B97459" w:rsidRPr="00707939" w:rsidRDefault="00B97459" w:rsidP="00B97459">
      <w:pPr>
        <w:autoSpaceDE w:val="0"/>
        <w:autoSpaceDN w:val="0"/>
        <w:adjustRightInd w:val="0"/>
        <w:spacing w:line="240" w:lineRule="auto"/>
        <w:jc w:val="center"/>
        <w:rPr>
          <w:rFonts w:ascii="AdobeArabic-Regular" w:cs="GE SS Text Light"/>
          <w:color w:val="000000"/>
          <w:sz w:val="24"/>
          <w:szCs w:val="24"/>
        </w:rPr>
      </w:pPr>
      <w:r w:rsidRPr="00707939">
        <w:rPr>
          <w:rFonts w:ascii="AdobeArabic-Regular" w:cs="GE SS Text Light" w:hint="cs"/>
          <w:color w:val="000000"/>
          <w:sz w:val="24"/>
          <w:szCs w:val="24"/>
          <w:rtl/>
        </w:rPr>
        <w:t xml:space="preserve">الخدمات التي تقدمها 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 xml:space="preserve">الأقسام للطلاب وأعداد المستفيدين </w:t>
      </w:r>
      <w:proofErr w:type="gramStart"/>
      <w:r>
        <w:rPr>
          <w:rFonts w:ascii="AdobeArabic-Regular" w:cs="GE SS Text Light" w:hint="cs"/>
          <w:color w:val="000000"/>
          <w:sz w:val="24"/>
          <w:szCs w:val="24"/>
          <w:rtl/>
        </w:rPr>
        <w:t>منها</w:t>
      </w:r>
      <w:r w:rsidRPr="00A30E84">
        <w:rPr>
          <w:rFonts w:ascii="AdobeArabic-Regular" w:cs="GE SS Text Light" w:hint="cs"/>
          <w:color w:val="000000"/>
          <w:sz w:val="24"/>
          <w:szCs w:val="24"/>
          <w:rtl/>
        </w:rPr>
        <w:t xml:space="preserve"> :</w:t>
      </w:r>
      <w:proofErr w:type="gramEnd"/>
    </w:p>
    <w:tbl>
      <w:tblPr>
        <w:tblStyle w:val="a3"/>
        <w:bidiVisual/>
        <w:tblW w:w="9162" w:type="dxa"/>
        <w:jc w:val="center"/>
        <w:tblLook w:val="04A0" w:firstRow="1" w:lastRow="0" w:firstColumn="1" w:lastColumn="0" w:noHBand="0" w:noVBand="1"/>
      </w:tblPr>
      <w:tblGrid>
        <w:gridCol w:w="4193"/>
        <w:gridCol w:w="1859"/>
        <w:gridCol w:w="3110"/>
      </w:tblGrid>
      <w:tr w:rsidR="00B97459" w:rsidTr="00E32C74">
        <w:trPr>
          <w:trHeight w:val="541"/>
          <w:jc w:val="center"/>
        </w:trPr>
        <w:tc>
          <w:tcPr>
            <w:tcW w:w="41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707939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الخدمة</w:t>
            </w:r>
            <w:proofErr w:type="gramEnd"/>
            <w:r w:rsidRPr="00707939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 المقدمة</w:t>
            </w:r>
          </w:p>
        </w:tc>
        <w:tc>
          <w:tcPr>
            <w:tcW w:w="18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Pr="00707939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31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707939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ملاحظات</w:t>
            </w:r>
          </w:p>
        </w:tc>
      </w:tr>
      <w:tr w:rsidR="00B97459" w:rsidTr="00E32C74">
        <w:trPr>
          <w:trHeight w:val="316"/>
          <w:jc w:val="center"/>
        </w:trPr>
        <w:tc>
          <w:tcPr>
            <w:tcW w:w="41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Default="00B97459" w:rsidP="00E32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Default="00B97459" w:rsidP="00E32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97459" w:rsidRDefault="00B97459" w:rsidP="00E32C7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97459" w:rsidTr="00E32C74">
        <w:trPr>
          <w:trHeight w:val="475"/>
          <w:jc w:val="center"/>
        </w:trPr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مكتبة</w:t>
            </w:r>
            <w:proofErr w:type="gramEnd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 القسم</w:t>
            </w: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961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516B79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-</w:t>
            </w:r>
          </w:p>
        </w:tc>
      </w:tr>
      <w:tr w:rsidR="00B97459" w:rsidTr="00E32C74">
        <w:trPr>
          <w:trHeight w:val="397"/>
          <w:jc w:val="center"/>
        </w:trPr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حلقات</w:t>
            </w:r>
            <w:proofErr w:type="gramEnd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 نقاش علمية</w:t>
            </w:r>
          </w:p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210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516B79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-</w:t>
            </w:r>
          </w:p>
        </w:tc>
      </w:tr>
      <w:tr w:rsidR="00B97459" w:rsidTr="00E32C74">
        <w:trPr>
          <w:trHeight w:val="349"/>
          <w:jc w:val="center"/>
        </w:trPr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حلقات</w:t>
            </w:r>
            <w:proofErr w:type="gramEnd"/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 نقاش ثقافية</w:t>
            </w:r>
          </w:p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445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516B79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-</w:t>
            </w:r>
          </w:p>
        </w:tc>
      </w:tr>
      <w:tr w:rsidR="00B97459" w:rsidTr="00E32C74">
        <w:trPr>
          <w:trHeight w:val="429"/>
          <w:jc w:val="center"/>
        </w:trPr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</w:t>
            </w:r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لإ</w:t>
            </w:r>
            <w:r w:rsidRPr="00C556D1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رشاد </w:t>
            </w:r>
            <w:r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الأكاديمي</w:t>
            </w:r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proofErr w:type="gramStart"/>
            <w:r w:rsidRPr="00C556D1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والمهني</w:t>
            </w:r>
            <w:proofErr w:type="gramEnd"/>
          </w:p>
          <w:p w:rsidR="00B97459" w:rsidRPr="00C556D1" w:rsidRDefault="00B97459" w:rsidP="00E32C74">
            <w:pPr>
              <w:tabs>
                <w:tab w:val="left" w:pos="1888"/>
              </w:tabs>
              <w:spacing w:line="276" w:lineRule="auto"/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C556D1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C556D1">
              <w:rPr>
                <w:rFonts w:cs="GE SS Text Light" w:hint="cs"/>
                <w:sz w:val="20"/>
                <w:szCs w:val="20"/>
                <w:rtl/>
                <w:lang w:bidi="ar-EG"/>
              </w:rPr>
              <w:t>3124</w:t>
            </w:r>
          </w:p>
        </w:tc>
        <w:tc>
          <w:tcPr>
            <w:tcW w:w="3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97459" w:rsidRPr="00516B79" w:rsidRDefault="00B97459" w:rsidP="00E32C74">
            <w:pPr>
              <w:spacing w:line="276" w:lineRule="auto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-</w:t>
            </w:r>
          </w:p>
        </w:tc>
      </w:tr>
    </w:tbl>
    <w:p w:rsidR="00B97459" w:rsidRDefault="00B97459" w:rsidP="00B97459">
      <w:pPr>
        <w:outlineLvl w:val="0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outlineLvl w:val="0"/>
        <w:rPr>
          <w:rFonts w:cs="GE SS Text Light"/>
          <w:color w:val="BBA656"/>
          <w:sz w:val="32"/>
          <w:szCs w:val="32"/>
          <w:rtl/>
        </w:rPr>
      </w:pP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يلاحظ أن أكثر الخدمات المقدمة كانت من نصيب </w:t>
      </w:r>
      <w:r w:rsidRPr="00C556D1">
        <w:rPr>
          <w:rFonts w:cs="GE SS Text Light" w:hint="cs"/>
          <w:color w:val="000000" w:themeColor="text1"/>
          <w:sz w:val="24"/>
          <w:szCs w:val="24"/>
          <w:rtl/>
        </w:rPr>
        <w:t>الإرشاد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الأكاديمي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حيث استفاد منها ( </w:t>
      </w:r>
      <w:r>
        <w:rPr>
          <w:rFonts w:cs="GE SS Text Light" w:hint="cs"/>
          <w:color w:val="000000" w:themeColor="text1"/>
          <w:sz w:val="24"/>
          <w:szCs w:val="24"/>
          <w:rtl/>
        </w:rPr>
        <w:t>3124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) </w:t>
      </w:r>
      <w:r w:rsidRPr="00C556D1">
        <w:rPr>
          <w:rFonts w:cs="GE SS Text Light" w:hint="cs"/>
          <w:color w:val="000000" w:themeColor="text1"/>
          <w:sz w:val="24"/>
          <w:szCs w:val="24"/>
          <w:rtl/>
        </w:rPr>
        <w:t>طالبا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وطالبة ، ثم خدمات المكتبات في </w:t>
      </w:r>
      <w:r>
        <w:rPr>
          <w:rFonts w:cs="GE SS Text Light" w:hint="cs"/>
          <w:color w:val="000000" w:themeColor="text1"/>
          <w:sz w:val="24"/>
          <w:szCs w:val="24"/>
          <w:rtl/>
        </w:rPr>
        <w:t>الأقسام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حيث استفاد منها ( </w:t>
      </w:r>
      <w:r>
        <w:rPr>
          <w:rFonts w:cs="GE SS Text Light" w:hint="cs"/>
          <w:color w:val="000000" w:themeColor="text1"/>
          <w:sz w:val="24"/>
          <w:szCs w:val="24"/>
          <w:rtl/>
        </w:rPr>
        <w:t>961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) </w:t>
      </w:r>
      <w:r w:rsidRPr="00C556D1">
        <w:rPr>
          <w:rFonts w:cs="GE SS Text Light" w:hint="cs"/>
          <w:color w:val="000000" w:themeColor="text1"/>
          <w:sz w:val="24"/>
          <w:szCs w:val="24"/>
          <w:rtl/>
        </w:rPr>
        <w:t xml:space="preserve">طالبا 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>وطالبة ، وجاءت حلقات النقاش الثقافية في المرتبة الثالثة حيث استفاد منها ( 445 ) طالب</w:t>
      </w:r>
      <w:r>
        <w:rPr>
          <w:rFonts w:cs="GE SS Text Light" w:hint="cs"/>
          <w:color w:val="000000" w:themeColor="text1"/>
          <w:sz w:val="24"/>
          <w:szCs w:val="24"/>
          <w:rtl/>
        </w:rPr>
        <w:t>ا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 xml:space="preserve"> وطالبة ، ويليها حلقات النقاش العلمية حيث </w:t>
      </w:r>
      <w:r>
        <w:rPr>
          <w:rFonts w:cs="GE SS Text Light" w:hint="cs"/>
          <w:color w:val="000000" w:themeColor="text1"/>
          <w:sz w:val="24"/>
          <w:szCs w:val="24"/>
          <w:rtl/>
        </w:rPr>
        <w:t>استفاد منها  210 منهما</w:t>
      </w:r>
      <w:r w:rsidRPr="00D65D68"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B97459" w:rsidRDefault="00B97459" w:rsidP="00B97459">
      <w:pPr>
        <w:outlineLvl w:val="0"/>
        <w:rPr>
          <w:rFonts w:cs="GE SS Text Light"/>
          <w:color w:val="BBA656"/>
          <w:sz w:val="32"/>
          <w:szCs w:val="32"/>
          <w:rtl/>
        </w:rPr>
      </w:pPr>
      <w:r w:rsidRPr="00302ECB">
        <w:rPr>
          <w:rFonts w:cs="GE SS Text Light"/>
          <w:noProof/>
          <w:color w:val="BBA656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21A4AEF2" wp14:editId="45D82C44">
            <wp:simplePos x="0" y="0"/>
            <wp:positionH relativeFrom="column">
              <wp:posOffset>295275</wp:posOffset>
            </wp:positionH>
            <wp:positionV relativeFrom="paragraph">
              <wp:posOffset>133350</wp:posOffset>
            </wp:positionV>
            <wp:extent cx="5219700" cy="2638425"/>
            <wp:effectExtent l="0" t="0" r="19050" b="9525"/>
            <wp:wrapNone/>
            <wp:docPr id="49" name="مخطط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B97459" w:rsidRDefault="00B97459" w:rsidP="00B97459">
      <w:pPr>
        <w:pStyle w:val="a4"/>
        <w:ind w:left="1500"/>
        <w:jc w:val="both"/>
        <w:rPr>
          <w:rFonts w:cs="GE SS Text Light"/>
          <w:color w:val="000000" w:themeColor="text1"/>
          <w:sz w:val="24"/>
          <w:szCs w:val="24"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B97459" w:rsidRDefault="00B97459" w:rsidP="00B97459">
      <w:pPr>
        <w:pStyle w:val="a4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SSTextBol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C46"/>
    <w:multiLevelType w:val="hybridMultilevel"/>
    <w:tmpl w:val="3C76EB0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59"/>
    <w:rsid w:val="0009104B"/>
    <w:rsid w:val="001171A7"/>
    <w:rsid w:val="00B9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45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59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745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SA" sz="1050" b="0" i="0" u="none" strike="noStrike" baseline="0"/>
              <a:t>شكل (</a:t>
            </a:r>
            <a:r>
              <a:rPr lang="en-US" sz="1050" b="0" i="0" u="none" strike="noStrike" baseline="0"/>
              <a:t>8</a:t>
            </a:r>
            <a:r>
              <a:rPr lang="ar-SA" sz="1050" b="0" i="0" u="none" strike="noStrike" baseline="0"/>
              <a:t>) : الخدمات التي تقدمها كلية التربية بالزلفي للطلاب وأعداد المستفيدين منها</a:t>
            </a:r>
            <a:endParaRPr lang="ar-JO" sz="1050" b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مجموع المستفيدين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4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</c:dPt>
          <c:dPt>
            <c:idx val="6"/>
            <c:bubble3D val="0"/>
            <c:spPr>
              <a:solidFill>
                <a:srgbClr val="A4893E"/>
              </a:solidFill>
            </c:spPr>
          </c:dPt>
          <c:dPt>
            <c:idx val="7"/>
            <c:bubble3D val="0"/>
            <c:spPr>
              <a:solidFill>
                <a:srgbClr val="2F401E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ورقة1!$A$2:$A$9</c:f>
              <c:strCache>
                <c:ptCount val="8"/>
                <c:pt idx="0">
                  <c:v>الاسكان الجامعي</c:v>
                </c:pt>
                <c:pt idx="1">
                  <c:v>التغذية</c:v>
                </c:pt>
                <c:pt idx="2">
                  <c:v>الرعاية الصحية</c:v>
                </c:pt>
                <c:pt idx="3">
                  <c:v>التوجيه التربوي</c:v>
                </c:pt>
                <c:pt idx="4">
                  <c:v>صناديق الأمانات</c:v>
                </c:pt>
                <c:pt idx="5">
                  <c:v>المواصلات</c:v>
                </c:pt>
                <c:pt idx="6">
                  <c:v>تقديم وجبات غذائية</c:v>
                </c:pt>
                <c:pt idx="7">
                  <c:v>تقديم وجبات خفيفة ومشروبات</c:v>
                </c:pt>
              </c:strCache>
            </c:strRef>
          </c:cat>
          <c:val>
            <c:numRef>
              <c:f>ورقة1!$B$2:$B$9</c:f>
              <c:numCache>
                <c:formatCode>General</c:formatCode>
                <c:ptCount val="8"/>
                <c:pt idx="0">
                  <c:v>85</c:v>
                </c:pt>
                <c:pt idx="1">
                  <c:v>1700</c:v>
                </c:pt>
                <c:pt idx="2">
                  <c:v>560</c:v>
                </c:pt>
                <c:pt idx="3">
                  <c:v>278</c:v>
                </c:pt>
                <c:pt idx="4">
                  <c:v>1350</c:v>
                </c:pt>
                <c:pt idx="5">
                  <c:v>1700</c:v>
                </c:pt>
                <c:pt idx="6">
                  <c:v>8500</c:v>
                </c:pt>
                <c:pt idx="7">
                  <c:v>2500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JO" sz="1100" b="0" i="0" u="none" strike="noStrike" baseline="0"/>
              <a:t>أعداد المستفيدين من </a:t>
            </a:r>
            <a:r>
              <a:rPr lang="ar-JO" sz="1100" b="0"/>
              <a:t>الخدمات التي تقدمها أقسام الكلية للطلاب وأعداد</a:t>
            </a:r>
            <a:r>
              <a:rPr lang="ar-JO" sz="1100" b="0" baseline="0"/>
              <a:t> المستفيدين منها</a:t>
            </a:r>
            <a:endParaRPr lang="ar-JO" sz="1100" b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134892809931882E-2"/>
          <c:y val="0.30876943631143577"/>
          <c:w val="0.65219387874449108"/>
          <c:h val="0.62498220775287705"/>
        </c:manualLayout>
      </c:layout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الخدمات التي تقدمها أقسام الكلية وأعداد المستفيدين منها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2F401E"/>
              </a:solidFill>
            </c:spPr>
          </c:dPt>
          <c:dPt>
            <c:idx val="1"/>
            <c:bubble3D val="0"/>
            <c:spPr>
              <a:solidFill>
                <a:srgbClr val="A3A3A3"/>
              </a:solidFill>
            </c:spPr>
          </c:dPt>
          <c:dPt>
            <c:idx val="2"/>
            <c:bubble3D val="0"/>
            <c:spPr>
              <a:solidFill>
                <a:srgbClr val="93A41E"/>
              </a:solidFill>
            </c:spPr>
          </c:dPt>
          <c:dPt>
            <c:idx val="3"/>
            <c:bubble3D val="0"/>
            <c:spPr>
              <a:solidFill>
                <a:srgbClr val="A4893E"/>
              </a:solidFill>
            </c:spPr>
          </c:dPt>
          <c:dLbls>
            <c:dLbl>
              <c:idx val="0"/>
              <c:layout>
                <c:manualLayout>
                  <c:x val="-6.7974378406614341E-2"/>
                  <c:y val="8.10441694788151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9488253201628833E-2"/>
                  <c:y val="2.18603674540686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8.0146005403484544E-2"/>
                  <c:y val="-9.87539557555312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13637675388455717"/>
                  <c:y val="-0.1302494188226491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ورقة1!$A$2:$A$5</c:f>
              <c:strCache>
                <c:ptCount val="4"/>
                <c:pt idx="0">
                  <c:v>مكتبة القسم</c:v>
                </c:pt>
                <c:pt idx="1">
                  <c:v>حلقات نقاش علمية</c:v>
                </c:pt>
                <c:pt idx="2">
                  <c:v>حلقات نقاش ثقافية</c:v>
                </c:pt>
                <c:pt idx="3">
                  <c:v>الارشاد الأكاديمي و المهني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961</c:v>
                </c:pt>
                <c:pt idx="1">
                  <c:v>210</c:v>
                </c:pt>
                <c:pt idx="2">
                  <c:v>445</c:v>
                </c:pt>
                <c:pt idx="3">
                  <c:v>3124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1580</Characters>
  <Application>Microsoft Office Word</Application>
  <DocSecurity>0</DocSecurity>
  <Lines>13</Lines>
  <Paragraphs>3</Paragraphs>
  <ScaleCrop>false</ScaleCrop>
  <Company>AbdulMajeed Alutiwi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2015-03-27T00:26:00Z</dcterms:created>
  <dcterms:modified xsi:type="dcterms:W3CDTF">2015-03-27T00:27:00Z</dcterms:modified>
</cp:coreProperties>
</file>