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bookmarkStart w:id="0" w:name="_GoBack"/>
      <w:bookmarkEnd w:id="0"/>
      <w:r w:rsidRPr="005A1FA6">
        <w:rPr>
          <w:rFonts w:ascii="Trebuchet MS" w:hAnsi="Trebuchet MS" w:cs="Trebuchet MS"/>
          <w:kern w:val="24"/>
          <w:sz w:val="64"/>
          <w:szCs w:val="64"/>
        </w:rPr>
        <w:t>Pharmacoeconomics &amp;</w:t>
      </w:r>
      <w:r w:rsidRPr="005A1FA6">
        <w:rPr>
          <w:rFonts w:ascii="Trebuchet MS" w:hAnsi="Trebuchet MS" w:cs="Trebuchet MS"/>
          <w:kern w:val="24"/>
          <w:sz w:val="64"/>
          <w:szCs w:val="64"/>
        </w:rPr>
        <w:br/>
        <w:t>Drug Compliance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72"/>
          <w:szCs w:val="72"/>
        </w:rPr>
      </w:pPr>
      <w:r w:rsidRPr="005A1FA6">
        <w:rPr>
          <w:rFonts w:ascii="Trebuchet MS" w:hAnsi="Trebuchet MS" w:cs="Trebuchet MS"/>
          <w:kern w:val="24"/>
          <w:sz w:val="72"/>
          <w:szCs w:val="72"/>
        </w:rPr>
        <w:t>Dr Arif Hashmi</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Objectives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Explain pharmaco-economics &amp; cost of prescription</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Evaluate the cost effective drug therapy.</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Discuss the concept of generic prescribing</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Discuss the significance of pharmaco-economics in various strata of society</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Explain drug compliance, adherence &amp; therapeutic failure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lastRenderedPageBreak/>
        <w:t>Discuss the consequences of noncompliance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What is Pharmacoeconomics?</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A branch of economics that uses cost-benefit, cost-effectiveness, cost-minimization, cost-of-illness and cost-utility analyses to compare pharmaceutical products and treatment strategies.</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 xml:space="preserve">Weighing the costs and benefits of option 1 with those of option 2 (for instance, a new drug and the previous best therapy) to determine which is the most efficient </w:t>
      </w:r>
      <w:r w:rsidRPr="005A1FA6">
        <w:rPr>
          <w:rFonts w:ascii="Trebuchet MS" w:hAnsi="Trebuchet MS" w:cs="Trebuchet MS"/>
          <w:kern w:val="24"/>
          <w:sz w:val="64"/>
          <w:szCs w:val="64"/>
        </w:rPr>
        <w:lastRenderedPageBreak/>
        <w:t xml:space="preserve">way to use our limited resources. </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 xml:space="preserve">Efficiency is a key concept in economics, i.e. how to buy the greatest amount of benefit for a given resource use. </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b/>
          <w:bCs/>
          <w:kern w:val="24"/>
          <w:sz w:val="64"/>
          <w:szCs w:val="64"/>
        </w:rPr>
        <w:t>Scarcity, choice and prioritisation</w:t>
      </w:r>
      <w:r w:rsidRPr="005A1FA6">
        <w:rPr>
          <w:rFonts w:ascii="Trebuchet MS" w:hAnsi="Trebuchet MS" w:cs="Trebuchet MS"/>
          <w:b/>
          <w:bCs/>
          <w:kern w:val="24"/>
          <w:sz w:val="64"/>
          <w:szCs w:val="64"/>
        </w:rPr>
        <w:br/>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The importance of Pharmacoeconomics can be found in;</w:t>
      </w:r>
    </w:p>
    <w:p w:rsidR="005A1FA6" w:rsidRPr="005A1FA6" w:rsidRDefault="005A1FA6" w:rsidP="005A1FA6">
      <w:pPr>
        <w:numPr>
          <w:ilvl w:val="0"/>
          <w:numId w:val="1"/>
        </w:numPr>
        <w:autoSpaceDE w:val="0"/>
        <w:autoSpaceDN w:val="0"/>
        <w:bidi w:val="0"/>
        <w:adjustRightInd w:val="0"/>
        <w:spacing w:after="0" w:line="240" w:lineRule="auto"/>
        <w:ind w:left="540" w:hanging="540"/>
        <w:rPr>
          <w:rFonts w:ascii="Trebuchet MS" w:hAnsi="Trebuchet MS" w:cs="Trebuchet MS"/>
          <w:kern w:val="24"/>
          <w:sz w:val="64"/>
          <w:szCs w:val="64"/>
        </w:rPr>
      </w:pPr>
      <w:r w:rsidRPr="005A1FA6">
        <w:rPr>
          <w:rFonts w:ascii="Trebuchet MS" w:hAnsi="Trebuchet MS" w:cs="Trebuchet MS"/>
          <w:kern w:val="24"/>
          <w:sz w:val="64"/>
          <w:szCs w:val="64"/>
        </w:rPr>
        <w:t>Drugs to be included in formulary</w:t>
      </w:r>
    </w:p>
    <w:p w:rsidR="005A1FA6" w:rsidRPr="005A1FA6" w:rsidRDefault="005A1FA6" w:rsidP="005A1FA6">
      <w:pPr>
        <w:numPr>
          <w:ilvl w:val="0"/>
          <w:numId w:val="1"/>
        </w:numPr>
        <w:autoSpaceDE w:val="0"/>
        <w:autoSpaceDN w:val="0"/>
        <w:bidi w:val="0"/>
        <w:adjustRightInd w:val="0"/>
        <w:spacing w:after="0" w:line="240" w:lineRule="auto"/>
        <w:ind w:left="540" w:hanging="540"/>
        <w:rPr>
          <w:rFonts w:ascii="Trebuchet MS" w:hAnsi="Trebuchet MS" w:cs="Trebuchet MS"/>
          <w:kern w:val="24"/>
          <w:sz w:val="64"/>
          <w:szCs w:val="64"/>
        </w:rPr>
      </w:pPr>
      <w:r w:rsidRPr="005A1FA6">
        <w:rPr>
          <w:rFonts w:ascii="Trebuchet MS" w:hAnsi="Trebuchet MS" w:cs="Trebuchet MS"/>
          <w:kern w:val="24"/>
          <w:sz w:val="64"/>
          <w:szCs w:val="64"/>
        </w:rPr>
        <w:lastRenderedPageBreak/>
        <w:t xml:space="preserve">Drugs showing maximum efficacy for a particular individual/patient </w:t>
      </w:r>
    </w:p>
    <w:p w:rsidR="005A1FA6" w:rsidRPr="005A1FA6" w:rsidRDefault="005A1FA6" w:rsidP="005A1FA6">
      <w:pPr>
        <w:numPr>
          <w:ilvl w:val="0"/>
          <w:numId w:val="1"/>
        </w:numPr>
        <w:autoSpaceDE w:val="0"/>
        <w:autoSpaceDN w:val="0"/>
        <w:bidi w:val="0"/>
        <w:adjustRightInd w:val="0"/>
        <w:spacing w:after="0" w:line="240" w:lineRule="auto"/>
        <w:ind w:left="540" w:hanging="540"/>
        <w:rPr>
          <w:rFonts w:ascii="Trebuchet MS" w:hAnsi="Trebuchet MS" w:cs="Trebuchet MS"/>
          <w:kern w:val="24"/>
          <w:sz w:val="64"/>
          <w:szCs w:val="64"/>
        </w:rPr>
      </w:pPr>
      <w:r w:rsidRPr="005A1FA6">
        <w:rPr>
          <w:rFonts w:ascii="Trebuchet MS" w:hAnsi="Trebuchet MS" w:cs="Trebuchet MS"/>
          <w:kern w:val="24"/>
          <w:sz w:val="64"/>
          <w:szCs w:val="64"/>
        </w:rPr>
        <w:t>Drugs and services to be provided at different levels of healthcare to ensure most optimum outcome</w:t>
      </w:r>
    </w:p>
    <w:p w:rsidR="005A1FA6" w:rsidRPr="005A1FA6" w:rsidRDefault="005A1FA6" w:rsidP="005A1FA6">
      <w:pPr>
        <w:numPr>
          <w:ilvl w:val="0"/>
          <w:numId w:val="1"/>
        </w:numPr>
        <w:autoSpaceDE w:val="0"/>
        <w:autoSpaceDN w:val="0"/>
        <w:bidi w:val="0"/>
        <w:adjustRightInd w:val="0"/>
        <w:spacing w:after="0" w:line="240" w:lineRule="auto"/>
        <w:ind w:left="540" w:hanging="540"/>
        <w:rPr>
          <w:rFonts w:ascii="Trebuchet MS" w:hAnsi="Trebuchet MS" w:cs="Trebuchet MS"/>
          <w:kern w:val="24"/>
          <w:sz w:val="64"/>
          <w:szCs w:val="64"/>
        </w:rPr>
      </w:pPr>
      <w:r w:rsidRPr="005A1FA6">
        <w:rPr>
          <w:rFonts w:ascii="Trebuchet MS" w:hAnsi="Trebuchet MS" w:cs="Trebuchet MS"/>
          <w:kern w:val="24"/>
          <w:sz w:val="64"/>
          <w:szCs w:val="64"/>
        </w:rPr>
        <w:t xml:space="preserve"> Best drug for a particular disease  </w:t>
      </w:r>
    </w:p>
    <w:p w:rsidR="005A1FA6" w:rsidRPr="005A1FA6" w:rsidRDefault="005A1FA6" w:rsidP="005A1FA6">
      <w:pPr>
        <w:numPr>
          <w:ilvl w:val="0"/>
          <w:numId w:val="1"/>
        </w:numPr>
        <w:autoSpaceDE w:val="0"/>
        <w:autoSpaceDN w:val="0"/>
        <w:bidi w:val="0"/>
        <w:adjustRightInd w:val="0"/>
        <w:spacing w:after="0" w:line="240" w:lineRule="auto"/>
        <w:ind w:left="540" w:hanging="540"/>
        <w:rPr>
          <w:rFonts w:ascii="Trebuchet MS" w:hAnsi="Trebuchet MS" w:cs="Trebuchet MS"/>
          <w:kern w:val="24"/>
          <w:sz w:val="64"/>
          <w:szCs w:val="64"/>
        </w:rPr>
      </w:pPr>
      <w:r w:rsidRPr="005A1FA6">
        <w:rPr>
          <w:rFonts w:ascii="Trebuchet MS" w:hAnsi="Trebuchet MS" w:cs="Trebuchet MS"/>
          <w:kern w:val="24"/>
          <w:sz w:val="64"/>
          <w:szCs w:val="64"/>
        </w:rPr>
        <w:t>Improvement of quality of life of the patient by a particular therapy</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40"/>
          <w:szCs w:val="40"/>
        </w:rPr>
      </w:pPr>
      <w:r w:rsidRPr="005A1FA6">
        <w:rPr>
          <w:rFonts w:ascii="Trebuchet MS" w:hAnsi="Trebuchet MS" w:cs="Trebuchet MS"/>
          <w:kern w:val="24"/>
          <w:sz w:val="40"/>
          <w:szCs w:val="40"/>
        </w:rPr>
        <w:t>Scarcity of resources requires individuals to choose which goods and services they consume. The basis for their choice is the relative value that they place on each good or service. The structure of these relative values is the basis for their system of prioritisation.</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What is QALY?</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lastRenderedPageBreak/>
        <w:t xml:space="preserve">Quality Adjusted Life Year (QALY) : attempts to integrate both quality and the quantity of life. </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QALY assumes that if a treatment increases one’s life expectancy by 2 years, but causes adverse effects or inconvenience, such that one’s quality of life or utility are decreased by 25%, the net gain is 2 x 0.75 = 1.5 QALYs.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METHODS in PE Analysis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96"/>
          <w:szCs w:val="96"/>
        </w:rPr>
      </w:pPr>
      <w:r w:rsidRPr="005A1FA6">
        <w:rPr>
          <w:rFonts w:ascii="Trebuchet MS" w:hAnsi="Trebuchet MS" w:cs="Trebuchet MS"/>
          <w:b/>
          <w:bCs/>
          <w:kern w:val="24"/>
          <w:sz w:val="96"/>
          <w:szCs w:val="96"/>
        </w:rPr>
        <w:t>What is cost effectiveness?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b/>
          <w:bCs/>
          <w:kern w:val="24"/>
          <w:sz w:val="56"/>
          <w:szCs w:val="56"/>
        </w:rPr>
        <w:lastRenderedPageBreak/>
        <w:t xml:space="preserve">Cost-effectiveness analysis </w:t>
      </w:r>
      <w:r w:rsidRPr="005A1FA6">
        <w:rPr>
          <w:rFonts w:ascii="Trebuchet MS" w:hAnsi="Trebuchet MS" w:cs="Trebuchet MS"/>
          <w:kern w:val="24"/>
          <w:sz w:val="56"/>
          <w:szCs w:val="56"/>
        </w:rPr>
        <w:t>compares the costs and health effects of an intervention to assess the extent to which it can be regarded as providing value for money.</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b/>
          <w:bCs/>
          <w:kern w:val="24"/>
          <w:sz w:val="48"/>
          <w:szCs w:val="48"/>
        </w:rPr>
        <w:t xml:space="preserve">Cost–utility analysis </w:t>
      </w:r>
      <w:r w:rsidRPr="005A1FA6">
        <w:rPr>
          <w:rFonts w:ascii="Arial" w:hAnsi="Arial" w:cs="Arial"/>
          <w:kern w:val="24"/>
          <w:sz w:val="48"/>
          <w:szCs w:val="48"/>
        </w:rPr>
        <w:t xml:space="preserve">the benefits are expressed as quality-adjusted life-years (QALYs) </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b/>
          <w:bCs/>
          <w:kern w:val="24"/>
          <w:sz w:val="48"/>
          <w:szCs w:val="48"/>
        </w:rPr>
        <w:t xml:space="preserve">Cost–benefit analysis </w:t>
      </w:r>
      <w:r w:rsidRPr="005A1FA6">
        <w:rPr>
          <w:rFonts w:ascii="Arial" w:hAnsi="Arial" w:cs="Arial"/>
          <w:kern w:val="24"/>
          <w:sz w:val="48"/>
          <w:szCs w:val="48"/>
        </w:rPr>
        <w:t>the benefits are expressed</w:t>
      </w:r>
      <w:r w:rsidRPr="005A1FA6">
        <w:rPr>
          <w:rFonts w:ascii="Arial" w:hAnsi="Arial" w:cs="Arial"/>
          <w:b/>
          <w:bCs/>
          <w:kern w:val="24"/>
          <w:sz w:val="48"/>
          <w:szCs w:val="48"/>
        </w:rPr>
        <w:t xml:space="preserve"> </w:t>
      </w:r>
      <w:r w:rsidRPr="005A1FA6">
        <w:rPr>
          <w:rFonts w:ascii="Arial" w:hAnsi="Arial" w:cs="Arial"/>
          <w:kern w:val="24"/>
          <w:sz w:val="48"/>
          <w:szCs w:val="48"/>
        </w:rPr>
        <w:t>in monetary terms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b/>
          <w:bCs/>
          <w:kern w:val="24"/>
          <w:sz w:val="64"/>
          <w:szCs w:val="64"/>
        </w:rPr>
        <w:t>What constitutes a cost?</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Costs are seen differently from different points of view.</w:t>
      </w:r>
    </w:p>
    <w:p w:rsidR="005A1FA6" w:rsidRPr="005A1FA6" w:rsidRDefault="005A1FA6" w:rsidP="005A1FA6">
      <w:pPr>
        <w:autoSpaceDE w:val="0"/>
        <w:autoSpaceDN w:val="0"/>
        <w:bidi w:val="0"/>
        <w:adjustRightInd w:val="0"/>
        <w:spacing w:after="0" w:line="240" w:lineRule="auto"/>
        <w:rPr>
          <w:rFonts w:ascii="Trebuchet MS" w:hAnsi="Trebuchet MS" w:cs="Trebuchet MS"/>
          <w:b/>
          <w:bCs/>
          <w:kern w:val="24"/>
          <w:sz w:val="56"/>
          <w:szCs w:val="56"/>
        </w:rPr>
      </w:pPr>
      <w:r w:rsidRPr="005A1FA6">
        <w:rPr>
          <w:rFonts w:ascii="Trebuchet MS" w:hAnsi="Trebuchet MS" w:cs="Trebuchet MS"/>
          <w:b/>
          <w:bCs/>
          <w:kern w:val="24"/>
          <w:sz w:val="56"/>
          <w:szCs w:val="56"/>
        </w:rPr>
        <w:t xml:space="preserve">Direct costs, Indirect </w:t>
      </w:r>
      <w:r w:rsidRPr="005A1FA6">
        <w:rPr>
          <w:rFonts w:ascii="Trebuchet MS" w:hAnsi="Trebuchet MS" w:cs="Trebuchet MS"/>
          <w:kern w:val="24"/>
          <w:sz w:val="56"/>
          <w:szCs w:val="56"/>
        </w:rPr>
        <w:t xml:space="preserve">or </w:t>
      </w:r>
      <w:r w:rsidRPr="005A1FA6">
        <w:rPr>
          <w:rFonts w:ascii="Trebuchet MS" w:hAnsi="Trebuchet MS" w:cs="Trebuchet MS"/>
          <w:b/>
          <w:bCs/>
          <w:kern w:val="24"/>
          <w:sz w:val="56"/>
          <w:szCs w:val="56"/>
        </w:rPr>
        <w:t>productivity costs and Intangibles</w:t>
      </w:r>
    </w:p>
    <w:p w:rsidR="005A1FA6" w:rsidRPr="005A1FA6" w:rsidRDefault="005A1FA6" w:rsidP="005A1FA6">
      <w:pPr>
        <w:autoSpaceDE w:val="0"/>
        <w:autoSpaceDN w:val="0"/>
        <w:bidi w:val="0"/>
        <w:adjustRightInd w:val="0"/>
        <w:spacing w:after="0" w:line="240" w:lineRule="auto"/>
        <w:rPr>
          <w:rFonts w:ascii="Trebuchet MS" w:hAnsi="Trebuchet MS" w:cs="Trebuchet MS"/>
          <w:b/>
          <w:bCs/>
          <w:kern w:val="24"/>
          <w:sz w:val="56"/>
          <w:szCs w:val="56"/>
        </w:rPr>
      </w:pPr>
      <w:r w:rsidRPr="005A1FA6">
        <w:rPr>
          <w:rFonts w:ascii="Trebuchet MS" w:hAnsi="Trebuchet MS" w:cs="Trebuchet MS"/>
          <w:b/>
          <w:bCs/>
          <w:kern w:val="24"/>
          <w:sz w:val="56"/>
          <w:szCs w:val="56"/>
        </w:rPr>
        <w:t xml:space="preserve">Direct costs: </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i/>
          <w:iCs/>
          <w:kern w:val="24"/>
          <w:sz w:val="48"/>
          <w:szCs w:val="48"/>
        </w:rPr>
        <w:t xml:space="preserve">Medical: </w:t>
      </w:r>
      <w:r w:rsidRPr="005A1FA6">
        <w:rPr>
          <w:rFonts w:ascii="Arial" w:hAnsi="Arial" w:cs="Arial"/>
          <w:kern w:val="24"/>
          <w:sz w:val="48"/>
          <w:szCs w:val="48"/>
        </w:rPr>
        <w:t>drugs; staff time; equipment</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kern w:val="24"/>
          <w:sz w:val="48"/>
          <w:szCs w:val="48"/>
        </w:rPr>
        <w:lastRenderedPageBreak/>
        <w:t xml:space="preserve"> </w:t>
      </w:r>
      <w:r w:rsidRPr="005A1FA6">
        <w:rPr>
          <w:rFonts w:ascii="Arial" w:hAnsi="Arial" w:cs="Arial"/>
          <w:i/>
          <w:iCs/>
          <w:kern w:val="24"/>
          <w:sz w:val="48"/>
          <w:szCs w:val="48"/>
        </w:rPr>
        <w:t xml:space="preserve">Patient: </w:t>
      </w:r>
      <w:r w:rsidRPr="005A1FA6">
        <w:rPr>
          <w:rFonts w:ascii="Arial" w:hAnsi="Arial" w:cs="Arial"/>
          <w:kern w:val="24"/>
          <w:sz w:val="48"/>
          <w:szCs w:val="48"/>
        </w:rPr>
        <w:t>transport; out-of pocket expenses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 xml:space="preserve">Indirect costs: </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kern w:val="24"/>
          <w:sz w:val="48"/>
          <w:szCs w:val="48"/>
        </w:rPr>
        <w:t>production losses; other uses of time (loss of work)</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 xml:space="preserve">Intangibles: </w:t>
      </w:r>
    </w:p>
    <w:p w:rsidR="005A1FA6" w:rsidRPr="005A1FA6" w:rsidRDefault="005A1FA6" w:rsidP="005A1FA6">
      <w:pPr>
        <w:autoSpaceDE w:val="0"/>
        <w:autoSpaceDN w:val="0"/>
        <w:adjustRightInd w:val="0"/>
        <w:spacing w:after="0" w:line="240" w:lineRule="auto"/>
        <w:ind w:left="720"/>
        <w:rPr>
          <w:rFonts w:ascii="Arial" w:hAnsi="Arial" w:cs="Arial"/>
          <w:kern w:val="24"/>
          <w:sz w:val="48"/>
          <w:szCs w:val="48"/>
        </w:rPr>
      </w:pPr>
      <w:r w:rsidRPr="005A1FA6">
        <w:rPr>
          <w:rFonts w:ascii="Arial" w:hAnsi="Arial" w:cs="Arial"/>
          <w:kern w:val="24"/>
          <w:sz w:val="48"/>
          <w:szCs w:val="48"/>
        </w:rPr>
        <w:t>pain; suffering; adverse effects.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GENERIC Prescribing</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 xml:space="preserve">Generic prescribing is the prescribing of a drug by a physician using the generic name. </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56"/>
          <w:szCs w:val="56"/>
        </w:rPr>
      </w:pPr>
      <w:r w:rsidRPr="005A1FA6">
        <w:rPr>
          <w:rFonts w:ascii="Arial" w:hAnsi="Arial" w:cs="Arial"/>
          <w:kern w:val="24"/>
          <w:sz w:val="56"/>
          <w:szCs w:val="56"/>
        </w:rPr>
        <w:t>Paracetamol instead of Panadol</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 xml:space="preserve">Generic substitution is based on the supposition that therapeutic equivalence, palatibility, and equivalent safety/adverse reactions exist </w:t>
      </w:r>
      <w:r w:rsidRPr="005A1FA6">
        <w:rPr>
          <w:rFonts w:ascii="Trebuchet MS" w:hAnsi="Trebuchet MS" w:cs="Trebuchet MS"/>
          <w:kern w:val="24"/>
          <w:sz w:val="64"/>
          <w:szCs w:val="64"/>
        </w:rPr>
        <w:lastRenderedPageBreak/>
        <w:t xml:space="preserve">among the various brands of a prescribed drug. </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Lowering of cost is the major factor in favor of generic prescribing.</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64"/>
          <w:szCs w:val="64"/>
        </w:rPr>
      </w:pPr>
      <w:r w:rsidRPr="005A1FA6">
        <w:rPr>
          <w:rFonts w:ascii="Trebuchet MS" w:hAnsi="Trebuchet MS" w:cs="Trebuchet MS"/>
          <w:kern w:val="24"/>
          <w:sz w:val="64"/>
          <w:szCs w:val="64"/>
        </w:rPr>
        <w:t>It is better to avoid generic prescribing in cases of drugs with low therapeutic indices.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PATIENT COMPLIANCE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Compliance may be defined as "the extent to which the patients‘ behaviour coincides with medical or health advice.“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Reasonable to term a patient noncompliant when the failure to comply is sufficient to interfere appreciably with achieving the therapeutic goal.</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lastRenderedPageBreak/>
        <w:t>Determinants of compliance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THE ILLNESS: difficult to relate compliance patterns to particular diseases. Exception being patients with psychiatric illness, who are in general less compliant.</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48"/>
          <w:szCs w:val="48"/>
        </w:rPr>
      </w:pPr>
      <w:r w:rsidRPr="005A1FA6">
        <w:rPr>
          <w:rFonts w:ascii="Arial" w:hAnsi="Arial" w:cs="Arial"/>
          <w:kern w:val="24"/>
          <w:sz w:val="48"/>
          <w:szCs w:val="48"/>
        </w:rPr>
        <w:t>In general, the longer the duration of treatment, the poorer is compliance likely to be.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THE PATIENT: Education (better compliance), Social Status, Geriatric patients with polypharmacy (less compliant)</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 xml:space="preserve">THE DOCTOR: important influence on compliance (Number of drugs, patient communication, empathy) </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MEASURING Compliance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IMPROVING Compliance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lastRenderedPageBreak/>
        <w:t>By ensuring compliance: Single dose (gonorrhea), Depot formulations</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By removing bamers to compliance:</w:t>
      </w:r>
    </w:p>
    <w:p w:rsidR="005A1FA6" w:rsidRPr="005A1FA6" w:rsidRDefault="005A1FA6" w:rsidP="005A1FA6">
      <w:pPr>
        <w:autoSpaceDE w:val="0"/>
        <w:autoSpaceDN w:val="0"/>
        <w:adjustRightInd w:val="0"/>
        <w:spacing w:after="0" w:line="240" w:lineRule="auto"/>
        <w:ind w:left="720"/>
        <w:rPr>
          <w:rFonts w:ascii="Arial" w:hAnsi="Arial" w:cs="Arial"/>
          <w:kern w:val="24"/>
          <w:sz w:val="36"/>
          <w:szCs w:val="36"/>
        </w:rPr>
      </w:pPr>
      <w:r w:rsidRPr="005A1FA6">
        <w:rPr>
          <w:rFonts w:ascii="Arial" w:hAnsi="Arial" w:cs="Arial"/>
          <w:kern w:val="24"/>
          <w:sz w:val="36"/>
          <w:szCs w:val="36"/>
        </w:rPr>
        <w:t xml:space="preserve">Palatability of medicines can be improved (children) </w:t>
      </w:r>
    </w:p>
    <w:p w:rsidR="005A1FA6" w:rsidRPr="005A1FA6" w:rsidRDefault="005A1FA6" w:rsidP="005A1FA6">
      <w:pPr>
        <w:autoSpaceDE w:val="0"/>
        <w:autoSpaceDN w:val="0"/>
        <w:adjustRightInd w:val="0"/>
        <w:spacing w:after="0" w:line="240" w:lineRule="auto"/>
        <w:ind w:left="720"/>
        <w:rPr>
          <w:rFonts w:ascii="Arial" w:hAnsi="Arial" w:cs="Arial"/>
          <w:kern w:val="24"/>
          <w:sz w:val="64"/>
          <w:szCs w:val="64"/>
        </w:rPr>
      </w:pPr>
      <w:r w:rsidRPr="005A1FA6">
        <w:rPr>
          <w:rFonts w:ascii="Arial" w:hAnsi="Arial" w:cs="Arial"/>
          <w:kern w:val="24"/>
          <w:sz w:val="36"/>
          <w:szCs w:val="36"/>
        </w:rPr>
        <w:t>Blister calendar packs for oral contraceptives or 1 blockers help patients to remember to take the drug</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By simplifying therapeutic regimens</w:t>
      </w:r>
    </w:p>
    <w:p w:rsidR="005A1FA6" w:rsidRPr="005A1FA6" w:rsidRDefault="005A1FA6" w:rsidP="005A1FA6">
      <w:pPr>
        <w:autoSpaceDE w:val="0"/>
        <w:autoSpaceDN w:val="0"/>
        <w:adjustRightInd w:val="0"/>
        <w:spacing w:after="0" w:line="240" w:lineRule="auto"/>
        <w:ind w:left="720"/>
        <w:rPr>
          <w:rFonts w:ascii="Arial" w:hAnsi="Arial" w:cs="Arial"/>
          <w:kern w:val="24"/>
          <w:sz w:val="36"/>
          <w:szCs w:val="36"/>
        </w:rPr>
      </w:pPr>
      <w:r w:rsidRPr="005A1FA6">
        <w:rPr>
          <w:rFonts w:ascii="Arial" w:hAnsi="Arial" w:cs="Arial"/>
          <w:kern w:val="24"/>
          <w:sz w:val="36"/>
          <w:szCs w:val="36"/>
        </w:rPr>
        <w:t>reducing the number of tablets a patient has to take</w:t>
      </w:r>
    </w:p>
    <w:p w:rsidR="005A1FA6" w:rsidRPr="005A1FA6" w:rsidRDefault="005A1FA6" w:rsidP="005A1FA6">
      <w:pPr>
        <w:autoSpaceDE w:val="0"/>
        <w:autoSpaceDN w:val="0"/>
        <w:adjustRightInd w:val="0"/>
        <w:spacing w:after="0" w:line="240" w:lineRule="auto"/>
        <w:ind w:left="720"/>
        <w:rPr>
          <w:rFonts w:ascii="Arial" w:hAnsi="Arial" w:cs="Arial"/>
          <w:kern w:val="24"/>
          <w:sz w:val="36"/>
          <w:szCs w:val="36"/>
        </w:rPr>
      </w:pPr>
      <w:r w:rsidRPr="005A1FA6">
        <w:rPr>
          <w:rFonts w:ascii="Arial" w:hAnsi="Arial" w:cs="Arial"/>
          <w:kern w:val="24"/>
          <w:sz w:val="36"/>
          <w:szCs w:val="36"/>
        </w:rPr>
        <w:t>reducing the frequency of administration</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By educating the patient</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THERAPEUTIC Failure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 xml:space="preserve">Failure to accomplish the goals of treatment resulting from inadequate or inappropriate drug </w:t>
      </w:r>
      <w:r w:rsidRPr="005A1FA6">
        <w:rPr>
          <w:rFonts w:ascii="Trebuchet MS" w:hAnsi="Trebuchet MS" w:cs="Trebuchet MS"/>
          <w:kern w:val="24"/>
          <w:sz w:val="56"/>
          <w:szCs w:val="56"/>
        </w:rPr>
        <w:lastRenderedPageBreak/>
        <w:t>therapy and not related to the natural progression of disease.</w:t>
      </w:r>
    </w:p>
    <w:p w:rsidR="005A1FA6" w:rsidRPr="005A1FA6" w:rsidRDefault="005A1FA6" w:rsidP="005A1FA6">
      <w:pPr>
        <w:autoSpaceDE w:val="0"/>
        <w:autoSpaceDN w:val="0"/>
        <w:bidi w:val="0"/>
        <w:adjustRightInd w:val="0"/>
        <w:spacing w:after="0" w:line="240" w:lineRule="auto"/>
        <w:jc w:val="both"/>
        <w:rPr>
          <w:rFonts w:ascii="Trebuchet MS" w:hAnsi="Trebuchet MS" w:cs="Trebuchet MS"/>
          <w:kern w:val="24"/>
          <w:sz w:val="56"/>
          <w:szCs w:val="56"/>
        </w:rPr>
      </w:pPr>
      <w:r w:rsidRPr="005A1FA6">
        <w:rPr>
          <w:rFonts w:ascii="Trebuchet MS" w:hAnsi="Trebuchet MS" w:cs="Trebuchet MS"/>
          <w:kern w:val="24"/>
          <w:sz w:val="56"/>
          <w:szCs w:val="56"/>
        </w:rPr>
        <w:t>Multiple factors at different levels are involved;</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48"/>
          <w:szCs w:val="48"/>
        </w:rPr>
      </w:pPr>
      <w:r w:rsidRPr="005A1FA6">
        <w:rPr>
          <w:rFonts w:ascii="Arial" w:hAnsi="Arial" w:cs="Arial"/>
          <w:kern w:val="24"/>
          <w:sz w:val="48"/>
          <w:szCs w:val="48"/>
        </w:rPr>
        <w:t>Non-Compliance</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48"/>
          <w:szCs w:val="48"/>
        </w:rPr>
      </w:pPr>
      <w:r w:rsidRPr="005A1FA6">
        <w:rPr>
          <w:rFonts w:ascii="Arial" w:hAnsi="Arial" w:cs="Arial"/>
          <w:kern w:val="24"/>
          <w:sz w:val="48"/>
          <w:szCs w:val="48"/>
        </w:rPr>
        <w:t>Wrong or Inadequate Prescriptions</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48"/>
          <w:szCs w:val="48"/>
        </w:rPr>
      </w:pPr>
      <w:r w:rsidRPr="005A1FA6">
        <w:rPr>
          <w:rFonts w:ascii="Arial" w:hAnsi="Arial" w:cs="Arial"/>
          <w:kern w:val="24"/>
          <w:sz w:val="48"/>
          <w:szCs w:val="48"/>
        </w:rPr>
        <w:t>Drug interactions</w:t>
      </w:r>
    </w:p>
    <w:p w:rsidR="005A1FA6" w:rsidRPr="005A1FA6" w:rsidRDefault="005A1FA6" w:rsidP="005A1FA6">
      <w:pPr>
        <w:autoSpaceDE w:val="0"/>
        <w:autoSpaceDN w:val="0"/>
        <w:adjustRightInd w:val="0"/>
        <w:spacing w:after="0" w:line="240" w:lineRule="auto"/>
        <w:ind w:left="720"/>
        <w:jc w:val="both"/>
        <w:rPr>
          <w:rFonts w:ascii="Arial" w:hAnsi="Arial" w:cs="Arial"/>
          <w:kern w:val="24"/>
          <w:sz w:val="48"/>
          <w:szCs w:val="48"/>
        </w:rPr>
      </w:pPr>
      <w:r w:rsidRPr="005A1FA6">
        <w:rPr>
          <w:rFonts w:ascii="Arial" w:hAnsi="Arial" w:cs="Arial"/>
          <w:kern w:val="24"/>
          <w:sz w:val="48"/>
          <w:szCs w:val="48"/>
        </w:rPr>
        <w:t>unexplained</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64"/>
          <w:szCs w:val="64"/>
        </w:rPr>
      </w:pPr>
      <w:r w:rsidRPr="005A1FA6">
        <w:rPr>
          <w:rFonts w:ascii="Trebuchet MS" w:hAnsi="Trebuchet MS" w:cs="Trebuchet MS"/>
          <w:kern w:val="24"/>
          <w:sz w:val="64"/>
          <w:szCs w:val="64"/>
        </w:rPr>
        <w:t>CONSEQUENCES of non - compliance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Therapeutic failure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Emergence of drug resistance</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Increased episodes of hospitalization</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56"/>
          <w:szCs w:val="56"/>
        </w:rPr>
      </w:pPr>
      <w:r w:rsidRPr="005A1FA6">
        <w:rPr>
          <w:rFonts w:ascii="Trebuchet MS" w:hAnsi="Trebuchet MS" w:cs="Trebuchet MS"/>
          <w:kern w:val="24"/>
          <w:sz w:val="56"/>
          <w:szCs w:val="56"/>
        </w:rPr>
        <w:t>Decreased QoL</w:t>
      </w:r>
    </w:p>
    <w:p w:rsidR="005A1FA6" w:rsidRPr="005A1FA6" w:rsidRDefault="005A1FA6" w:rsidP="005A1FA6">
      <w:pPr>
        <w:autoSpaceDE w:val="0"/>
        <w:autoSpaceDN w:val="0"/>
        <w:bidi w:val="0"/>
        <w:adjustRightInd w:val="0"/>
        <w:spacing w:after="0" w:line="240" w:lineRule="auto"/>
        <w:rPr>
          <w:rFonts w:ascii="Trebuchet MS" w:hAnsi="Trebuchet MS" w:cs="Trebuchet MS"/>
          <w:kern w:val="24"/>
          <w:sz w:val="132"/>
          <w:szCs w:val="132"/>
        </w:rPr>
      </w:pPr>
      <w:r w:rsidRPr="005A1FA6">
        <w:rPr>
          <w:rFonts w:ascii="Trebuchet MS" w:hAnsi="Trebuchet MS" w:cs="Trebuchet MS"/>
          <w:kern w:val="24"/>
          <w:sz w:val="132"/>
          <w:szCs w:val="132"/>
        </w:rPr>
        <w:t>THANK YOU</w:t>
      </w:r>
    </w:p>
    <w:p w:rsidR="005A1FA6" w:rsidRPr="005A1FA6" w:rsidRDefault="005A1FA6" w:rsidP="005A1FA6">
      <w:pPr>
        <w:autoSpaceDE w:val="0"/>
        <w:autoSpaceDN w:val="0"/>
        <w:bidi w:val="0"/>
        <w:adjustRightInd w:val="0"/>
        <w:spacing w:after="0" w:line="240" w:lineRule="auto"/>
        <w:rPr>
          <w:rFonts w:ascii="Trebuchet MS" w:hAnsi="Times New Roman" w:cs="Times New Roman"/>
          <w:kern w:val="24"/>
          <w:sz w:val="64"/>
          <w:szCs w:val="64"/>
          <w:rtl/>
        </w:rPr>
      </w:pPr>
    </w:p>
    <w:p w:rsidR="0083587F" w:rsidRPr="005A1FA6" w:rsidRDefault="0083587F">
      <w:pPr>
        <w:rPr>
          <w:rFonts w:hint="cs"/>
        </w:rPr>
      </w:pPr>
    </w:p>
    <w:sectPr w:rsidR="0083587F" w:rsidRPr="005A1FA6" w:rsidSect="000202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5EB236"/>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A6"/>
    <w:rsid w:val="005A1FA6"/>
    <w:rsid w:val="0083587F"/>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C9F0-B081-4069-83E7-33362456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2015-03-30T11:00:00Z</dcterms:created>
  <dcterms:modified xsi:type="dcterms:W3CDTF">2015-03-30T11:00:00Z</dcterms:modified>
</cp:coreProperties>
</file>