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bookmarkStart w:id="0" w:name="_GoBack"/>
      <w:bookmarkEnd w:id="0"/>
      <w:r w:rsidRPr="00E75165">
        <w:rPr>
          <w:rFonts w:ascii="Segoe UI Light" w:hAnsi="Segoe UI Light" w:cs="Segoe UI Light"/>
          <w:kern w:val="24"/>
          <w:sz w:val="56"/>
          <w:szCs w:val="56"/>
        </w:rPr>
        <w:br/>
        <w:t xml:space="preserve">Drug Therapy In Pediatric &amp; Geriatric Age Groups </w:t>
      </w:r>
      <w:r w:rsidRPr="00E75165">
        <w:rPr>
          <w:rFonts w:ascii="Segoe UI Light" w:hAnsi="Segoe UI Light" w:cs="Segoe UI Light"/>
          <w:kern w:val="24"/>
          <w:sz w:val="56"/>
          <w:szCs w:val="56"/>
        </w:rPr>
        <w:tab/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kern w:val="24"/>
          <w:sz w:val="56"/>
          <w:szCs w:val="56"/>
        </w:rPr>
        <w:t>Dr Arif Hashmi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kern w:val="24"/>
          <w:sz w:val="56"/>
          <w:szCs w:val="56"/>
        </w:rPr>
        <w:t>Objectives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36"/>
          <w:szCs w:val="36"/>
        </w:rPr>
      </w:pPr>
      <w:r w:rsidRPr="00E75165">
        <w:rPr>
          <w:rFonts w:ascii="Segoe UI Light" w:hAnsi="Segoe UI Light" w:cs="Segoe UI Light"/>
          <w:kern w:val="24"/>
          <w:sz w:val="36"/>
          <w:szCs w:val="36"/>
        </w:rPr>
        <w:t xml:space="preserve">a. Discuss the principles of prescribing in pediatric and geriatric age groups. 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36"/>
          <w:szCs w:val="36"/>
        </w:rPr>
      </w:pPr>
      <w:r w:rsidRPr="00E75165">
        <w:rPr>
          <w:rFonts w:ascii="Segoe UI Light" w:hAnsi="Segoe UI Light" w:cs="Segoe UI Light"/>
          <w:kern w:val="24"/>
          <w:sz w:val="36"/>
          <w:szCs w:val="36"/>
        </w:rPr>
        <w:t xml:space="preserve">b. Discuss the pharmacokinetic and pharmacodynamics differences in pediatric, geriatric and adult age groups. 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36"/>
          <w:szCs w:val="36"/>
        </w:rPr>
      </w:pPr>
      <w:r w:rsidRPr="00E75165">
        <w:rPr>
          <w:rFonts w:ascii="Segoe UI Light" w:hAnsi="Segoe UI Light" w:cs="Segoe UI Light"/>
          <w:kern w:val="24"/>
          <w:sz w:val="36"/>
          <w:szCs w:val="36"/>
        </w:rPr>
        <w:t xml:space="preserve">c. Describe how the efficacies of drugs vary according to age. 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36"/>
          <w:szCs w:val="36"/>
        </w:rPr>
      </w:pPr>
      <w:r w:rsidRPr="00E75165">
        <w:rPr>
          <w:rFonts w:ascii="Segoe UI Light" w:hAnsi="Segoe UI Light" w:cs="Segoe UI Light"/>
          <w:kern w:val="24"/>
          <w:sz w:val="36"/>
          <w:szCs w:val="36"/>
        </w:rPr>
        <w:t xml:space="preserve">d. Describe different paediatric dosage forms &amp; compliance in children. 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36"/>
          <w:szCs w:val="36"/>
        </w:rPr>
      </w:pPr>
      <w:r w:rsidRPr="00E75165">
        <w:rPr>
          <w:rFonts w:ascii="Segoe UI Light" w:hAnsi="Segoe UI Light" w:cs="Segoe UI Light"/>
          <w:kern w:val="24"/>
          <w:sz w:val="36"/>
          <w:szCs w:val="36"/>
        </w:rPr>
        <w:t xml:space="preserve">e. Discuss important adverse drug reactions occurring in geriatric &amp; pediatric age groups. 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kern w:val="24"/>
          <w:sz w:val="56"/>
          <w:szCs w:val="56"/>
        </w:rPr>
        <w:t>What is different from normal adult prescribing?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Children cannot be regarded as miniature adults in terms of drug response, due to differences in body constitution, drug 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lastRenderedPageBreak/>
        <w:t>absorption and elimination, and sensitivity to adverse reactions.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kern w:val="24"/>
          <w:sz w:val="56"/>
          <w:szCs w:val="56"/>
        </w:rPr>
        <w:t>Pediatric Group – Pharmacokinetics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b/>
          <w:bCs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Absorption: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Gastro-intestinal absorption is slower in infancy, but absorption from intra-muscular injection is faster.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Infant skin is thin and percutaneous absorption can cause systemic toxicity 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b/>
          <w:bCs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Distribution: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Lower volume of distribution of fat-soluble drugs (e.g. </w:t>
      </w: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>diazepam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t>) in infants.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Plasma protein binding of drugs is reduced in neonates.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Blood–brain barrier is more permeable in neonates and young children, leading to an increased risk of CNS adverse effects.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b/>
          <w:bCs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Metabolism: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At birth, the hepatic microsomal enzyme system is relatively immature.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Drugs administered to the mother can induce neonatal enzyme activity (e.g. barbiturates).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b/>
          <w:bCs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Excretion: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All renal mechanisms (filtration, secretion and reabsorption) are reduced in neonates.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Subsequently, during toddlerhood, it exceeds adult values, often necessitating larger doses per kilogram. E.g. the dose per kilogram of digoxin is much higher in toddlers than in adults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b/>
          <w:bCs/>
          <w:kern w:val="24"/>
          <w:sz w:val="56"/>
          <w:szCs w:val="56"/>
        </w:rPr>
        <w:lastRenderedPageBreak/>
        <w:t>PHARMACODYNAMICS</w:t>
      </w:r>
    </w:p>
    <w:p w:rsidR="00E75165" w:rsidRPr="00E75165" w:rsidRDefault="00E75165" w:rsidP="00E7516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Apparently paradoxical effects of some drugs (e.g. hyperkinesia with </w:t>
      </w: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>phenobarbitone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, sedation of hyperactive children with </w:t>
      </w: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>amphetamine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) are as yet unexplained. </w:t>
      </w:r>
    </w:p>
    <w:p w:rsidR="00E75165" w:rsidRPr="00E75165" w:rsidRDefault="00E75165" w:rsidP="00E7516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Augmented responses to </w:t>
      </w: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warfarin 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t>in prepubertal patients occur at similar plasma concentrations as in adults, implying a pharmacodynamic mechanism.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b/>
          <w:bCs/>
          <w:kern w:val="24"/>
          <w:sz w:val="56"/>
          <w:szCs w:val="56"/>
        </w:rPr>
        <w:t>PEDIATRIC DRUG DOSAGE</w:t>
      </w:r>
    </w:p>
    <w:p w:rsidR="00E75165" w:rsidRPr="00E75165" w:rsidRDefault="00E75165" w:rsidP="00E7516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Most drugs approved for use in children have recommended pediatric doses, generally stated as milligrams per kilogram.</w:t>
      </w:r>
    </w:p>
    <w:p w:rsidR="00E75165" w:rsidRPr="00E75165" w:rsidRDefault="00E75165" w:rsidP="00E7516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Calculations of pediatric dosage: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30" w:hanging="450"/>
        <w:rPr>
          <w:rFonts w:ascii="Segoe UI" w:hAnsi="Segoe UI" w:cs="Segoe UI"/>
          <w:i/>
          <w:iCs/>
          <w:kern w:val="24"/>
          <w:sz w:val="48"/>
          <w:szCs w:val="48"/>
        </w:rPr>
      </w:pPr>
      <w:r w:rsidRPr="00E75165">
        <w:rPr>
          <w:rFonts w:ascii="Segoe UI" w:hAnsi="Segoe UI" w:cs="Segoe UI"/>
          <w:kern w:val="24"/>
          <w:sz w:val="48"/>
          <w:szCs w:val="48"/>
        </w:rPr>
        <w:t>Surface area based (Young’s formula): Dose</w:t>
      </w:r>
      <w:r w:rsidRPr="00E75165">
        <w:rPr>
          <w:rFonts w:ascii="Segoe UI" w:hAnsi="Segoe UI" w:cs="Segoe UI"/>
          <w:i/>
          <w:iCs/>
          <w:kern w:val="24"/>
          <w:sz w:val="48"/>
          <w:szCs w:val="48"/>
        </w:rPr>
        <w:t xml:space="preserve"> = </w:t>
      </w:r>
      <w:r w:rsidRPr="00E75165">
        <w:rPr>
          <w:rFonts w:ascii="Cambria Math" w:hAnsi="Cambria Math" w:cs="Cambria Math"/>
          <w:i/>
          <w:iCs/>
          <w:kern w:val="24"/>
          <w:sz w:val="48"/>
          <w:szCs w:val="48"/>
        </w:rPr>
        <w:t>𝐴𝑑𝑢𝑙𝑡 𝐷𝑜𝑠𝑒</w:t>
      </w:r>
      <w:r w:rsidRPr="00E75165">
        <w:rPr>
          <w:rFonts w:ascii="Cambria Math" w:eastAsia="Times New Roman" w:hAnsi="Times New Roman" w:cs="Times New Roman"/>
          <w:i/>
          <w:iCs/>
          <w:kern w:val="24"/>
          <w:sz w:val="48"/>
          <w:szCs w:val="48"/>
        </w:rPr>
        <w:t>×</w:t>
      </w:r>
      <w:r w:rsidRPr="00E75165">
        <w:rPr>
          <w:rFonts w:ascii="Cambria Math" w:hAnsi="Cambria Math" w:cs="Cambria Math"/>
          <w:i/>
          <w:iCs/>
          <w:kern w:val="24"/>
          <w:sz w:val="48"/>
          <w:szCs w:val="48"/>
        </w:rPr>
        <w:t>﷐</w:t>
      </w:r>
      <w:r w:rsidRPr="00E75165">
        <w:rPr>
          <w:rFonts w:ascii="Cambria Math" w:eastAsia="Times New Roman" w:hAnsi="Times New Roman" w:cs="Cambria Math"/>
          <w:i/>
          <w:iCs/>
          <w:kern w:val="24"/>
          <w:sz w:val="48"/>
          <w:szCs w:val="48"/>
        </w:rPr>
        <w:t>𝐴𝑔𝑒(𝑦𝑒𝑎𝑟𝑠)</w:t>
      </w:r>
      <w:r w:rsidRPr="00E75165">
        <w:rPr>
          <w:rFonts w:ascii="Segoe UI" w:hAnsi="Segoe UI" w:cs="Segoe UI"/>
          <w:kern w:val="24"/>
          <w:sz w:val="48"/>
          <w:szCs w:val="48"/>
        </w:rPr>
        <w:t xml:space="preserve"> </w:t>
      </w:r>
      <w:r w:rsidRPr="00E75165">
        <w:rPr>
          <w:rFonts w:ascii="Cambria Math" w:hAnsi="Cambria Math" w:cs="Cambria Math"/>
          <w:i/>
          <w:iCs/>
          <w:kern w:val="24"/>
          <w:sz w:val="48"/>
          <w:szCs w:val="48"/>
        </w:rPr>
        <w:t>﷮</w:t>
      </w:r>
      <w:r w:rsidRPr="00E75165">
        <w:rPr>
          <w:rFonts w:ascii="Cambria Math" w:eastAsia="Times New Roman" w:hAnsi="Times New Roman" w:cs="Cambria Math"/>
          <w:i/>
          <w:iCs/>
          <w:kern w:val="24"/>
          <w:sz w:val="48"/>
          <w:szCs w:val="48"/>
        </w:rPr>
        <w:t>𝐴𝑔𝑒+12</w:t>
      </w:r>
      <w:r w:rsidRPr="00E75165">
        <w:rPr>
          <w:rFonts w:ascii="Cambria Math" w:eastAsia="Times New Roman" w:hAnsi="Cambria Math" w:cs="Cambria Math"/>
          <w:i/>
          <w:iCs/>
          <w:kern w:val="24"/>
          <w:sz w:val="48"/>
          <w:szCs w:val="48"/>
        </w:rPr>
        <w:t>﷯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30" w:hanging="450"/>
        <w:rPr>
          <w:rFonts w:ascii="Segoe UI" w:hAnsi="Segoe UI" w:cs="Segoe UI"/>
          <w:kern w:val="24"/>
          <w:sz w:val="48"/>
          <w:szCs w:val="48"/>
        </w:rPr>
      </w:pPr>
      <w:r w:rsidRPr="00E75165">
        <w:rPr>
          <w:rFonts w:ascii="Segoe UI" w:hAnsi="Segoe UI" w:cs="Segoe UI"/>
          <w:kern w:val="24"/>
          <w:sz w:val="48"/>
          <w:szCs w:val="48"/>
        </w:rPr>
        <w:lastRenderedPageBreak/>
        <w:t xml:space="preserve">Body weight based (Clark’s rule): Dose = </w:t>
      </w:r>
      <w:r w:rsidRPr="00E75165">
        <w:rPr>
          <w:rFonts w:ascii="Cambria Math" w:hAnsi="Cambria Math" w:cs="Cambria Math"/>
          <w:i/>
          <w:iCs/>
          <w:kern w:val="24"/>
          <w:sz w:val="48"/>
          <w:szCs w:val="48"/>
        </w:rPr>
        <w:t>𝐴𝑑𝑢𝑙𝑡 𝐷𝑜𝑠𝑒 ×﷐</w:t>
      </w:r>
      <w:r w:rsidRPr="00E75165">
        <w:rPr>
          <w:rFonts w:ascii="Cambria Math" w:eastAsia="Times New Roman" w:hAnsi="Times New Roman" w:cs="Cambria Math"/>
          <w:i/>
          <w:iCs/>
          <w:kern w:val="24"/>
          <w:sz w:val="48"/>
          <w:szCs w:val="48"/>
        </w:rPr>
        <w:t>𝑊𝑒𝑖𝑔</w:t>
      </w:r>
      <w:r w:rsidRPr="00E75165">
        <w:rPr>
          <w:rFonts w:ascii="Cambria Math" w:eastAsia="Times New Roman" w:hAnsi="Cambria Math" w:cs="Cambria Math"/>
          <w:i/>
          <w:iCs/>
          <w:kern w:val="24"/>
          <w:sz w:val="48"/>
          <w:szCs w:val="48"/>
        </w:rPr>
        <w:t>ℎ</w:t>
      </w:r>
      <w:r w:rsidRPr="00E75165">
        <w:rPr>
          <w:rFonts w:ascii="Cambria Math" w:eastAsia="Times New Roman" w:hAnsi="Times New Roman" w:cs="Cambria Math"/>
          <w:i/>
          <w:iCs/>
          <w:kern w:val="24"/>
          <w:sz w:val="48"/>
          <w:szCs w:val="48"/>
        </w:rPr>
        <w:t>𝑡 (𝑘𝑔)</w:t>
      </w:r>
      <w:r w:rsidRPr="00E75165">
        <w:rPr>
          <w:rFonts w:ascii="Cambria Math" w:eastAsia="Times New Roman" w:hAnsi="Cambria Math" w:cs="Cambria Math"/>
          <w:i/>
          <w:iCs/>
          <w:kern w:val="24"/>
          <w:sz w:val="48"/>
          <w:szCs w:val="48"/>
        </w:rPr>
        <w:t>﷮</w:t>
      </w:r>
      <w:r w:rsidRPr="00E75165">
        <w:rPr>
          <w:rFonts w:ascii="Cambria Math" w:eastAsia="Times New Roman" w:hAnsi="Times New Roman" w:cs="Cambria Math"/>
          <w:i/>
          <w:iCs/>
          <w:kern w:val="24"/>
          <w:sz w:val="48"/>
          <w:szCs w:val="48"/>
        </w:rPr>
        <w:t>70</w:t>
      </w:r>
      <w:r w:rsidRPr="00E75165">
        <w:rPr>
          <w:rFonts w:ascii="Cambria Math" w:eastAsia="Times New Roman" w:hAnsi="Cambria Math" w:cs="Cambria Math"/>
          <w:i/>
          <w:iCs/>
          <w:kern w:val="24"/>
          <w:sz w:val="48"/>
          <w:szCs w:val="48"/>
        </w:rPr>
        <w:t>﷯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kern w:val="24"/>
          <w:sz w:val="56"/>
          <w:szCs w:val="56"/>
        </w:rPr>
        <w:t>ADVERSE EFFECTS</w:t>
      </w:r>
    </w:p>
    <w:p w:rsidR="00E75165" w:rsidRPr="00E75165" w:rsidRDefault="00E75165" w:rsidP="00E7516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hanging="450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With a few notable exceptions, drugs in children generally have a similar adverse effect profile to those in adults.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Some specific ADR examples are; 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hanging="450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chronic corticosteroid use, including high-dose inhaled corticosteroids, to inhibit growth</w:t>
      </w:r>
    </w:p>
    <w:p w:rsidR="00E75165" w:rsidRPr="00E75165" w:rsidRDefault="00E75165" w:rsidP="00E7516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hanging="450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Tetracyclines are deposited in growing bone and teeth, causing staining and occasionally dental hypoplasia</w:t>
      </w:r>
    </w:p>
    <w:p w:rsidR="00E75165" w:rsidRPr="00E75165" w:rsidRDefault="00E75165" w:rsidP="00E7516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hanging="450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Fluoroquinolone antibacterial drugs may damage growing cartilage</w:t>
      </w:r>
    </w:p>
    <w:p w:rsidR="00E75165" w:rsidRPr="00E75165" w:rsidRDefault="00E75165" w:rsidP="00E7516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hanging="450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lastRenderedPageBreak/>
        <w:t xml:space="preserve"> Dystonias with metoclopramide</w:t>
      </w: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 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t>occur more frequently in children and young adults than in older adults</w:t>
      </w:r>
    </w:p>
    <w:p w:rsidR="00E75165" w:rsidRPr="00E75165" w:rsidRDefault="00E75165" w:rsidP="00E7516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hanging="450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 Valproate</w:t>
      </w: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 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t>hepatotoxicity is increased in young children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b/>
          <w:bCs/>
          <w:kern w:val="24"/>
          <w:sz w:val="56"/>
          <w:szCs w:val="56"/>
        </w:rPr>
        <w:t>PEDIATRIC DOSAGE FORMS &amp; COMPLIANCE</w:t>
      </w:r>
    </w:p>
    <w:p w:rsidR="00E75165" w:rsidRPr="00E75165" w:rsidRDefault="00E75165" w:rsidP="00E7516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Segoe UI Light" w:hAnsi="Segoe UI Light" w:cs="Segoe UI Light"/>
          <w:kern w:val="24"/>
          <w:sz w:val="40"/>
          <w:szCs w:val="40"/>
        </w:rPr>
      </w:pPr>
      <w:r w:rsidRPr="00E75165">
        <w:rPr>
          <w:rFonts w:ascii="Segoe UI Light" w:hAnsi="Segoe UI Light" w:cs="Segoe UI Light"/>
          <w:kern w:val="24"/>
          <w:sz w:val="40"/>
          <w:szCs w:val="40"/>
        </w:rPr>
        <w:t>Children under the age of five years may have difficulty in swallowing even small tablets, and hence oral preparations which taste pleasant are often necessary to improve compliance. (Elixirs &amp; Suspensions)</w:t>
      </w:r>
    </w:p>
    <w:p w:rsidR="00E75165" w:rsidRPr="00E75165" w:rsidRDefault="00E75165" w:rsidP="00E7516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Segoe UI Light" w:hAnsi="Segoe UI Light" w:cs="Segoe UI Light"/>
          <w:kern w:val="24"/>
          <w:sz w:val="40"/>
          <w:szCs w:val="40"/>
        </w:rPr>
      </w:pPr>
      <w:r w:rsidRPr="00E75165">
        <w:rPr>
          <w:rFonts w:ascii="Segoe UI Light" w:hAnsi="Segoe UI Light" w:cs="Segoe UI Light"/>
          <w:kern w:val="24"/>
          <w:sz w:val="40"/>
          <w:szCs w:val="40"/>
        </w:rPr>
        <w:t xml:space="preserve">Pressurized aerosols (e.g. </w:t>
      </w:r>
      <w:r w:rsidRPr="00E75165">
        <w:rPr>
          <w:rFonts w:ascii="Segoe UI Light" w:hAnsi="Segoe UI Light" w:cs="Segoe UI Light"/>
          <w:b/>
          <w:bCs/>
          <w:kern w:val="24"/>
          <w:sz w:val="40"/>
          <w:szCs w:val="40"/>
        </w:rPr>
        <w:t xml:space="preserve">salbutamol </w:t>
      </w:r>
      <w:r w:rsidRPr="00E75165">
        <w:rPr>
          <w:rFonts w:ascii="Segoe UI Light" w:hAnsi="Segoe UI Light" w:cs="Segoe UI Light"/>
          <w:kern w:val="24"/>
          <w:sz w:val="40"/>
          <w:szCs w:val="40"/>
        </w:rPr>
        <w:t>inhaler) in children over the age of ten years, as coordinated deep inspiration is required. Nebulizers may be used.</w:t>
      </w:r>
    </w:p>
    <w:p w:rsidR="00E75165" w:rsidRPr="00E75165" w:rsidRDefault="00E75165" w:rsidP="00E7516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Segoe UI Light" w:hAnsi="Segoe UI Light" w:cs="Segoe UI Light"/>
          <w:kern w:val="24"/>
          <w:sz w:val="40"/>
          <w:szCs w:val="40"/>
        </w:rPr>
      </w:pPr>
      <w:r w:rsidRPr="00E75165">
        <w:rPr>
          <w:rFonts w:ascii="Segoe UI Light" w:hAnsi="Segoe UI Light" w:cs="Segoe UI Light"/>
          <w:kern w:val="24"/>
          <w:sz w:val="40"/>
          <w:szCs w:val="40"/>
        </w:rPr>
        <w:t xml:space="preserve">Children find intravenous infusions uncomfortable and restrictive. Rectal administration is a convenient alternative (e.g. </w:t>
      </w:r>
      <w:r w:rsidRPr="00E75165">
        <w:rPr>
          <w:rFonts w:ascii="Segoe UI Light" w:hAnsi="Segoe UI Light" w:cs="Segoe UI Light"/>
          <w:b/>
          <w:bCs/>
          <w:kern w:val="24"/>
          <w:sz w:val="40"/>
          <w:szCs w:val="40"/>
        </w:rPr>
        <w:t xml:space="preserve">metronidazole </w:t>
      </w:r>
      <w:r w:rsidRPr="00E75165">
        <w:rPr>
          <w:rFonts w:ascii="Segoe UI Light" w:hAnsi="Segoe UI Light" w:cs="Segoe UI Light"/>
          <w:kern w:val="24"/>
          <w:sz w:val="40"/>
          <w:szCs w:val="40"/>
        </w:rPr>
        <w:t xml:space="preserve">to treat anaerobic infections). Rectal </w:t>
      </w:r>
      <w:r w:rsidRPr="00E75165">
        <w:rPr>
          <w:rFonts w:ascii="Segoe UI Light" w:hAnsi="Segoe UI Light" w:cs="Segoe UI Light"/>
          <w:b/>
          <w:bCs/>
          <w:kern w:val="24"/>
          <w:sz w:val="40"/>
          <w:szCs w:val="40"/>
        </w:rPr>
        <w:t xml:space="preserve">diazepam </w:t>
      </w:r>
      <w:r w:rsidRPr="00E75165">
        <w:rPr>
          <w:rFonts w:ascii="Segoe UI Light" w:hAnsi="Segoe UI Light" w:cs="Segoe UI Light"/>
          <w:kern w:val="24"/>
          <w:sz w:val="40"/>
          <w:szCs w:val="40"/>
        </w:rPr>
        <w:t xml:space="preserve">is particularly valuable in the treatment of status epilepticus. Rectal </w:t>
      </w:r>
      <w:r w:rsidRPr="00E75165">
        <w:rPr>
          <w:rFonts w:ascii="Segoe UI Light" w:hAnsi="Segoe UI Light" w:cs="Segoe UI Light"/>
          <w:kern w:val="24"/>
          <w:sz w:val="40"/>
          <w:szCs w:val="40"/>
        </w:rPr>
        <w:lastRenderedPageBreak/>
        <w:t>administration should also be considered if the child is vomiting.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b/>
          <w:bCs/>
          <w:kern w:val="24"/>
          <w:sz w:val="56"/>
          <w:szCs w:val="56"/>
        </w:rPr>
        <w:br/>
      </w:r>
      <w:r w:rsidRPr="00E75165">
        <w:rPr>
          <w:rFonts w:ascii="Segoe UI Light" w:hAnsi="Segoe UI Light" w:cs="Segoe UI Light"/>
          <w:b/>
          <w:bCs/>
          <w:kern w:val="24"/>
          <w:sz w:val="56"/>
          <w:szCs w:val="56"/>
        </w:rPr>
        <w:br/>
      </w:r>
      <w:r w:rsidRPr="00E75165">
        <w:rPr>
          <w:rFonts w:ascii="Segoe UI Light" w:hAnsi="Segoe UI Light" w:cs="Segoe UI Light"/>
          <w:b/>
          <w:bCs/>
          <w:kern w:val="24"/>
          <w:sz w:val="56"/>
          <w:szCs w:val="56"/>
        </w:rPr>
        <w:br/>
      </w:r>
      <w:r w:rsidRPr="00E75165">
        <w:rPr>
          <w:rFonts w:ascii="Segoe UI Light" w:hAnsi="Segoe UI Light" w:cs="Segoe UI Light"/>
          <w:b/>
          <w:bCs/>
          <w:kern w:val="24"/>
          <w:sz w:val="56"/>
          <w:szCs w:val="56"/>
        </w:rPr>
        <w:br/>
        <w:t>Rules of prescribing for Pediatric populations</w:t>
      </w:r>
      <w:r w:rsidRPr="00E75165">
        <w:rPr>
          <w:rFonts w:ascii="Segoe UI Light" w:hAnsi="Segoe UI Light" w:cs="Segoe UI Light"/>
          <w:kern w:val="24"/>
          <w:sz w:val="56"/>
          <w:szCs w:val="56"/>
        </w:rPr>
        <w:br/>
      </w:r>
    </w:p>
    <w:p w:rsidR="00E75165" w:rsidRPr="00E75165" w:rsidRDefault="00E75165" w:rsidP="00E7516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rPr>
          <w:rFonts w:ascii="Segoe UI Light" w:hAnsi="Segoe UI Light" w:cs="Segoe UI Light"/>
          <w:kern w:val="24"/>
          <w:sz w:val="40"/>
          <w:szCs w:val="40"/>
        </w:rPr>
      </w:pPr>
      <w:r w:rsidRPr="00E75165">
        <w:rPr>
          <w:rFonts w:ascii="Segoe UI Light" w:hAnsi="Segoe UI Light" w:cs="Segoe UI Light"/>
          <w:kern w:val="24"/>
          <w:sz w:val="40"/>
          <w:szCs w:val="40"/>
        </w:rPr>
        <w:t>Calculate the doses for prescribed drugs based on weight of the patients.</w:t>
      </w:r>
    </w:p>
    <w:p w:rsidR="00E75165" w:rsidRPr="00E75165" w:rsidRDefault="00E75165" w:rsidP="00E7516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rPr>
          <w:rFonts w:ascii="Segoe UI Light" w:hAnsi="Segoe UI Light" w:cs="Segoe UI Light"/>
          <w:kern w:val="24"/>
          <w:sz w:val="40"/>
          <w:szCs w:val="40"/>
        </w:rPr>
      </w:pPr>
      <w:r w:rsidRPr="00E75165">
        <w:rPr>
          <w:rFonts w:ascii="Segoe UI Light" w:hAnsi="Segoe UI Light" w:cs="Segoe UI Light"/>
          <w:kern w:val="24"/>
          <w:sz w:val="40"/>
          <w:szCs w:val="40"/>
        </w:rPr>
        <w:t>Ensure proper instructions to the care giver, including when the child vomits the given medication after consumption.</w:t>
      </w:r>
    </w:p>
    <w:p w:rsidR="00E75165" w:rsidRPr="00E75165" w:rsidRDefault="00E75165" w:rsidP="00E7516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rPr>
          <w:rFonts w:ascii="Segoe UI Light" w:hAnsi="Segoe UI Light" w:cs="Segoe UI Light"/>
          <w:kern w:val="24"/>
          <w:sz w:val="40"/>
          <w:szCs w:val="40"/>
        </w:rPr>
      </w:pPr>
      <w:r w:rsidRPr="00E75165">
        <w:rPr>
          <w:rFonts w:ascii="Segoe UI Light" w:hAnsi="Segoe UI Light" w:cs="Segoe UI Light"/>
          <w:kern w:val="24"/>
          <w:sz w:val="40"/>
          <w:szCs w:val="40"/>
        </w:rPr>
        <w:t>Ensure that all medicines are strictly out of reach of children at all times.</w:t>
      </w:r>
    </w:p>
    <w:p w:rsidR="00E75165" w:rsidRPr="00E75165" w:rsidRDefault="00E75165" w:rsidP="00E7516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rPr>
          <w:rFonts w:ascii="Segoe UI Light" w:hAnsi="Segoe UI Light" w:cs="Segoe UI Light"/>
          <w:kern w:val="24"/>
          <w:sz w:val="40"/>
          <w:szCs w:val="40"/>
        </w:rPr>
      </w:pPr>
      <w:r w:rsidRPr="00E75165">
        <w:rPr>
          <w:rFonts w:ascii="Segoe UI Light" w:hAnsi="Segoe UI Light" w:cs="Segoe UI Light"/>
          <w:kern w:val="24"/>
          <w:sz w:val="40"/>
          <w:szCs w:val="40"/>
        </w:rPr>
        <w:t>Avoid prolonged treatment with drugs that have delayed complications (Steroids).</w:t>
      </w:r>
    </w:p>
    <w:p w:rsidR="00E75165" w:rsidRPr="00E75165" w:rsidRDefault="00E75165" w:rsidP="00E7516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rPr>
          <w:rFonts w:ascii="Segoe UI Light" w:hAnsi="Segoe UI Light" w:cs="Segoe UI Light"/>
          <w:kern w:val="24"/>
          <w:sz w:val="40"/>
          <w:szCs w:val="40"/>
        </w:rPr>
      </w:pPr>
      <w:r w:rsidRPr="00E75165">
        <w:rPr>
          <w:rFonts w:ascii="Segoe UI Light" w:hAnsi="Segoe UI Light" w:cs="Segoe UI Light"/>
          <w:kern w:val="24"/>
          <w:sz w:val="40"/>
          <w:szCs w:val="40"/>
        </w:rPr>
        <w:t>Use antibiotics sparingly and only when required.</w:t>
      </w:r>
    </w:p>
    <w:p w:rsidR="00E75165" w:rsidRPr="00E75165" w:rsidRDefault="00E75165" w:rsidP="00E7516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rPr>
          <w:rFonts w:ascii="Segoe UI Light" w:hAnsi="Segoe UI Light" w:cs="Segoe UI Light"/>
          <w:kern w:val="24"/>
          <w:sz w:val="40"/>
          <w:szCs w:val="40"/>
        </w:rPr>
      </w:pPr>
      <w:r w:rsidRPr="00E75165">
        <w:rPr>
          <w:rFonts w:ascii="Segoe UI Light" w:hAnsi="Segoe UI Light" w:cs="Segoe UI Light"/>
          <w:kern w:val="24"/>
          <w:sz w:val="40"/>
          <w:szCs w:val="40"/>
        </w:rPr>
        <w:lastRenderedPageBreak/>
        <w:t>Medications affecting the CNS need to be extensively reviewed and routinely monitored to ensure minimal growth disturbances.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kern w:val="24"/>
          <w:sz w:val="56"/>
          <w:szCs w:val="56"/>
        </w:rPr>
        <w:t>Geraitric Group - Pharmacokinetics</w:t>
      </w:r>
    </w:p>
    <w:p w:rsidR="00E75165" w:rsidRPr="00E75165" w:rsidRDefault="00E75165" w:rsidP="00E7516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Absorption: 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t>Little evidence of any major alteration in drug absorption with age. However, conditions associated with age may alter rate at which some drugs are absorbed. (Diabetic gastroparaesis, laxative abuse)</w:t>
      </w:r>
    </w:p>
    <w:p w:rsidR="00E75165" w:rsidRPr="00E75165" w:rsidRDefault="00E75165" w:rsidP="00E7516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Distribution: 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t>Elderly have reduced lean body mass, reduced body water.</w:t>
      </w:r>
    </w:p>
    <w:p w:rsidR="00E75165" w:rsidRPr="00E75165" w:rsidRDefault="00E75165" w:rsidP="00E7516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Metabolism: 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t>Capacity of liver to metabolize drugs does not appear to decline consistently with age for all drugs.</w:t>
      </w:r>
    </w:p>
    <w:p w:rsidR="00E75165" w:rsidRPr="00E75165" w:rsidRDefault="00E75165" w:rsidP="00E7516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b/>
          <w:bCs/>
          <w:kern w:val="24"/>
          <w:sz w:val="48"/>
          <w:szCs w:val="48"/>
        </w:rPr>
        <w:t xml:space="preserve">Elimination: </w:t>
      </w:r>
      <w:r w:rsidRPr="00E75165">
        <w:rPr>
          <w:rFonts w:ascii="Segoe UI Light" w:hAnsi="Segoe UI Light" w:cs="Segoe UI Light"/>
          <w:kern w:val="24"/>
          <w:sz w:val="48"/>
          <w:szCs w:val="48"/>
        </w:rPr>
        <w:t>Kidney is major organ for clearance of drugs from body,  age-related decline of renal functional capacity is important.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kern w:val="24"/>
          <w:sz w:val="56"/>
          <w:szCs w:val="56"/>
        </w:rPr>
        <w:t>Pharmacodynamics</w:t>
      </w:r>
    </w:p>
    <w:p w:rsidR="00E75165" w:rsidRPr="00E75165" w:rsidRDefault="00E75165" w:rsidP="00E7516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50" w:hanging="450"/>
        <w:jc w:val="both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Geriatric patients believed to be much more "sensitive" to  action of many drugs, implying a change in pharmacodynamic interaction of drugs with their receptors. BUT, most of these are a result of changing Pharmacokinetics!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80"/>
          <w:szCs w:val="80"/>
        </w:rPr>
      </w:pPr>
      <w:r w:rsidRPr="00E75165">
        <w:rPr>
          <w:rFonts w:ascii="Segoe UI Light" w:hAnsi="Segoe UI Light" w:cs="Segoe UI Light"/>
          <w:b/>
          <w:bCs/>
          <w:kern w:val="24"/>
          <w:sz w:val="80"/>
          <w:szCs w:val="80"/>
        </w:rPr>
        <w:br/>
      </w:r>
      <w:r w:rsidRPr="00E75165">
        <w:rPr>
          <w:rFonts w:ascii="Segoe UI Light" w:hAnsi="Segoe UI Light" w:cs="Segoe UI Light"/>
          <w:b/>
          <w:bCs/>
          <w:kern w:val="24"/>
          <w:sz w:val="80"/>
          <w:szCs w:val="80"/>
        </w:rPr>
        <w:br/>
      </w:r>
      <w:r w:rsidRPr="00E75165">
        <w:rPr>
          <w:rFonts w:ascii="Segoe UI Light" w:hAnsi="Segoe UI Light" w:cs="Segoe UI Light"/>
          <w:b/>
          <w:bCs/>
          <w:kern w:val="24"/>
          <w:sz w:val="80"/>
          <w:szCs w:val="80"/>
        </w:rPr>
        <w:br/>
      </w:r>
      <w:r w:rsidRPr="00E75165">
        <w:rPr>
          <w:rFonts w:ascii="Segoe UI Light" w:hAnsi="Segoe UI Light" w:cs="Segoe UI Light"/>
          <w:b/>
          <w:bCs/>
          <w:kern w:val="24"/>
          <w:sz w:val="80"/>
          <w:szCs w:val="80"/>
        </w:rPr>
        <w:br/>
      </w:r>
      <w:r w:rsidRPr="00E75165">
        <w:rPr>
          <w:rFonts w:ascii="Segoe UI Light" w:hAnsi="Segoe UI Light" w:cs="Segoe UI Light"/>
          <w:b/>
          <w:bCs/>
          <w:kern w:val="24"/>
          <w:sz w:val="80"/>
          <w:szCs w:val="80"/>
        </w:rPr>
        <w:lastRenderedPageBreak/>
        <w:t>Rules of prescribing for the elderly</w:t>
      </w:r>
      <w:r w:rsidRPr="00E75165">
        <w:rPr>
          <w:rFonts w:ascii="Segoe UI Light" w:hAnsi="Segoe UI Light" w:cs="Segoe UI Light"/>
          <w:kern w:val="24"/>
          <w:sz w:val="80"/>
          <w:szCs w:val="80"/>
        </w:rPr>
        <w:br/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Think about the necessity for drugs.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Avoid drugs with negligible or doubtful benefits.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Think about the dose.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Think about drug formulation.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Assume any new symptoms may be due to drug side-effects.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Take a careful drug history.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Use fixed combinations of drugs rarely.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Check Compliance.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Think before adding a new drug to the regimen.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Stopping is as important as Starting.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kern w:val="24"/>
          <w:sz w:val="56"/>
          <w:szCs w:val="56"/>
        </w:rPr>
        <w:lastRenderedPageBreak/>
        <w:t>Geriatric Prescribing - ADRs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kern w:val="24"/>
          <w:sz w:val="56"/>
          <w:szCs w:val="56"/>
        </w:rPr>
        <w:t>ADRs and Age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Incidence of ADR increases with age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   Elderly receive more medicines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   Incidence of ADR increases the more  prescribed medicines taken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For patients aged&gt;50 yrs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/>
        <w:rPr>
          <w:rFonts w:ascii="Segoe UI" w:hAnsi="Segoe UI" w:cs="Segoe UI"/>
          <w:kern w:val="24"/>
          <w:sz w:val="48"/>
          <w:szCs w:val="48"/>
        </w:rPr>
      </w:pPr>
      <w:r w:rsidRPr="00E75165">
        <w:rPr>
          <w:rFonts w:ascii="Segoe UI" w:hAnsi="Segoe UI" w:cs="Segoe UI"/>
          <w:kern w:val="24"/>
          <w:sz w:val="48"/>
          <w:szCs w:val="48"/>
        </w:rPr>
        <w:t>ADR rates – 5% for 1 or 2 medicines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/>
        <w:rPr>
          <w:rFonts w:ascii="Segoe UI" w:hAnsi="Segoe UI" w:cs="Segoe UI"/>
          <w:kern w:val="24"/>
          <w:sz w:val="48"/>
          <w:szCs w:val="48"/>
        </w:rPr>
      </w:pPr>
      <w:r w:rsidRPr="00E75165">
        <w:rPr>
          <w:rFonts w:ascii="Segoe UI" w:hAnsi="Segoe UI" w:cs="Segoe UI"/>
          <w:kern w:val="24"/>
          <w:sz w:val="48"/>
          <w:szCs w:val="48"/>
        </w:rPr>
        <w:t>Increased to 20% when &gt;5 medicines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</w:rPr>
      </w:pPr>
      <w:r w:rsidRPr="00E75165">
        <w:rPr>
          <w:rFonts w:ascii="Segoe UI Light" w:hAnsi="Segoe UI Light" w:cs="Segoe UI Light"/>
          <w:kern w:val="24"/>
          <w:sz w:val="56"/>
          <w:szCs w:val="56"/>
        </w:rPr>
        <w:t>Most frequent drug classes causing ADRs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Cardiovascular active agents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Analgesics (opioid mainly)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Antibiotics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Hypoglycemic agents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 xml:space="preserve">Psychotropic agents </w:t>
      </w:r>
    </w:p>
    <w:p w:rsidR="00E75165" w:rsidRPr="00E75165" w:rsidRDefault="00E75165" w:rsidP="00E7516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48"/>
          <w:szCs w:val="48"/>
        </w:rPr>
      </w:pPr>
      <w:r w:rsidRPr="00E75165">
        <w:rPr>
          <w:rFonts w:ascii="Segoe UI Light" w:hAnsi="Segoe UI Light" w:cs="Segoe UI Light"/>
          <w:kern w:val="24"/>
          <w:sz w:val="48"/>
          <w:szCs w:val="48"/>
        </w:rPr>
        <w:t>Anticoagulants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160"/>
          <w:szCs w:val="160"/>
        </w:rPr>
      </w:pPr>
      <w:r w:rsidRPr="00E75165">
        <w:rPr>
          <w:rFonts w:ascii="Segoe UI Light" w:hAnsi="Segoe UI Light" w:cs="Segoe UI Light"/>
          <w:kern w:val="24"/>
          <w:sz w:val="160"/>
          <w:szCs w:val="160"/>
        </w:rPr>
        <w:lastRenderedPageBreak/>
        <w:t>THANK YOU</w:t>
      </w:r>
    </w:p>
    <w:p w:rsidR="00E75165" w:rsidRPr="00E75165" w:rsidRDefault="00E75165" w:rsidP="00E75165">
      <w:pPr>
        <w:autoSpaceDE w:val="0"/>
        <w:autoSpaceDN w:val="0"/>
        <w:bidi w:val="0"/>
        <w:adjustRightInd w:val="0"/>
        <w:spacing w:after="0" w:line="240" w:lineRule="auto"/>
        <w:rPr>
          <w:rFonts w:ascii="Segoe UI Light" w:hAnsi="Segoe UI Light" w:cs="Segoe UI Light"/>
          <w:kern w:val="24"/>
          <w:sz w:val="56"/>
          <w:szCs w:val="56"/>
          <w:rtl/>
        </w:rPr>
      </w:pPr>
    </w:p>
    <w:p w:rsidR="004F6027" w:rsidRPr="00E75165" w:rsidRDefault="004F6027">
      <w:pPr>
        <w:rPr>
          <w:rFonts w:hint="cs"/>
        </w:rPr>
      </w:pPr>
    </w:p>
    <w:sectPr w:rsidR="004F6027" w:rsidRPr="00E75165" w:rsidSect="009568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CE39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65"/>
    <w:rsid w:val="004F6027"/>
    <w:rsid w:val="00E75165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85AB80-2B01-4063-B0F7-9F425EC0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2015-03-30T10:58:00Z</dcterms:created>
  <dcterms:modified xsi:type="dcterms:W3CDTF">2015-03-30T10:58:00Z</dcterms:modified>
</cp:coreProperties>
</file>