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096C25" w:rsidRDefault="00096C25" w:rsidP="00A40112">
      <w:pPr>
        <w:shd w:val="clear" w:color="auto" w:fill="FFFFFF"/>
        <w:spacing w:after="0" w:line="390" w:lineRule="atLeast"/>
        <w:jc w:val="both"/>
        <w:textAlignment w:val="top"/>
        <w:rPr>
          <w:rFonts w:ascii="Times New Roman" w:eastAsia="Times New Roman" w:hAnsi="Times New Roman" w:cs="Times New Roman" w:hint="cs"/>
          <w:b/>
          <w:bCs/>
          <w:color w:val="000080"/>
          <w:sz w:val="24"/>
          <w:szCs w:val="24"/>
          <w:bdr w:val="none" w:sz="0" w:space="0" w:color="auto" w:frame="1"/>
          <w:rtl/>
        </w:rPr>
      </w:pPr>
      <w:r>
        <w:rPr>
          <w:rFonts w:ascii="Arial" w:hAnsi="Arial" w:cs="Arial"/>
          <w:color w:val="4E90B2"/>
          <w:sz w:val="45"/>
          <w:szCs w:val="45"/>
          <w:shd w:val="clear" w:color="auto" w:fill="FCFBF6"/>
          <w:rtl/>
        </w:rPr>
        <w:t>مقدمة في استدعاء الشخصيات التراثية في الشعر السعودي</w:t>
      </w:r>
    </w:p>
    <w:p w:rsidR="00A40112" w:rsidRDefault="00A40112" w:rsidP="00CA79BC">
      <w:pPr>
        <w:pStyle w:val="a4"/>
        <w:shd w:val="clear" w:color="auto" w:fill="FFFFFF"/>
        <w:spacing w:before="0" w:beforeAutospacing="0" w:after="480" w:afterAutospacing="0" w:line="390" w:lineRule="atLeast"/>
        <w:jc w:val="right"/>
        <w:textAlignment w:val="top"/>
        <w:rPr>
          <w:color w:val="314318"/>
        </w:rPr>
      </w:pPr>
    </w:p>
    <w:p w:rsidR="00096C25" w:rsidRPr="00096C25" w:rsidRDefault="00096C25" w:rsidP="00096C25">
      <w:pPr>
        <w:spacing w:after="0" w:line="480" w:lineRule="atLeast"/>
        <w:jc w:val="both"/>
        <w:textAlignment w:val="top"/>
        <w:rPr>
          <w:rFonts w:ascii="Tahoma" w:eastAsia="Times New Roman" w:hAnsi="Tahoma" w:cs="Tahoma"/>
          <w:color w:val="314318"/>
          <w:sz w:val="20"/>
          <w:szCs w:val="20"/>
        </w:rPr>
      </w:pPr>
      <w:r w:rsidRPr="00096C25">
        <w:rPr>
          <w:rFonts w:ascii="Tahoma" w:eastAsia="Times New Roman" w:hAnsi="Tahoma" w:cs="Tahoma"/>
          <w:b/>
          <w:bCs/>
          <w:color w:val="000080"/>
          <w:sz w:val="24"/>
          <w:szCs w:val="24"/>
          <w:bdr w:val="none" w:sz="0" w:space="0" w:color="auto" w:frame="1"/>
          <w:rtl/>
        </w:rPr>
        <w:t>عنوان الكتاب</w:t>
      </w:r>
      <w:r w:rsidRPr="00096C25">
        <w:rPr>
          <w:rFonts w:ascii="Tahoma" w:eastAsia="Times New Roman" w:hAnsi="Tahoma" w:cs="Tahoma"/>
          <w:b/>
          <w:bCs/>
          <w:color w:val="314318"/>
          <w:sz w:val="24"/>
          <w:szCs w:val="24"/>
          <w:bdr w:val="none" w:sz="0" w:space="0" w:color="auto" w:frame="1"/>
          <w:rtl/>
        </w:rPr>
        <w:t> : مقدمة في استدعاء الشخصيات التراثية في الشعر السعودي</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المؤلف </w:t>
      </w:r>
      <w:r w:rsidRPr="00096C25">
        <w:rPr>
          <w:rFonts w:ascii="Tahoma" w:eastAsia="Times New Roman" w:hAnsi="Tahoma" w:cs="Tahoma"/>
          <w:b/>
          <w:bCs/>
          <w:color w:val="314318"/>
          <w:sz w:val="24"/>
          <w:szCs w:val="24"/>
          <w:bdr w:val="none" w:sz="0" w:space="0" w:color="auto" w:frame="1"/>
          <w:rtl/>
        </w:rPr>
        <w:t xml:space="preserve">: د/ عبد الله بن خليفة </w:t>
      </w:r>
      <w:proofErr w:type="spellStart"/>
      <w:r w:rsidRPr="00096C25">
        <w:rPr>
          <w:rFonts w:ascii="Tahoma" w:eastAsia="Times New Roman" w:hAnsi="Tahoma" w:cs="Tahoma"/>
          <w:b/>
          <w:bCs/>
          <w:color w:val="314318"/>
          <w:sz w:val="24"/>
          <w:szCs w:val="24"/>
          <w:bdr w:val="none" w:sz="0" w:space="0" w:color="auto" w:frame="1"/>
          <w:rtl/>
        </w:rPr>
        <w:t>السويكت</w:t>
      </w:r>
      <w:proofErr w:type="spellEnd"/>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الطبعة : </w:t>
      </w:r>
      <w:r w:rsidRPr="00096C25">
        <w:rPr>
          <w:rFonts w:ascii="Tahoma" w:eastAsia="Times New Roman" w:hAnsi="Tahoma" w:cs="Tahoma"/>
          <w:b/>
          <w:bCs/>
          <w:color w:val="314318"/>
          <w:sz w:val="24"/>
          <w:szCs w:val="24"/>
          <w:bdr w:val="none" w:sz="0" w:space="0" w:color="auto" w:frame="1"/>
          <w:rtl/>
        </w:rPr>
        <w:t>الأولى</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عدد الصفحات :  </w:t>
      </w:r>
      <w:r w:rsidRPr="00096C25">
        <w:rPr>
          <w:rFonts w:ascii="Tahoma" w:eastAsia="Times New Roman" w:hAnsi="Tahoma" w:cs="Tahoma"/>
          <w:b/>
          <w:bCs/>
          <w:color w:val="314318"/>
          <w:sz w:val="24"/>
          <w:szCs w:val="24"/>
          <w:bdr w:val="none" w:sz="0" w:space="0" w:color="auto" w:frame="1"/>
          <w:rtl/>
        </w:rPr>
        <w:t>( 188 ) صفحة من القطع المتوسط</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سنة النشر : </w:t>
      </w:r>
      <w:r w:rsidRPr="00096C25">
        <w:rPr>
          <w:rFonts w:ascii="Tahoma" w:eastAsia="Times New Roman" w:hAnsi="Tahoma" w:cs="Tahoma"/>
          <w:b/>
          <w:bCs/>
          <w:color w:val="314318"/>
          <w:sz w:val="24"/>
          <w:szCs w:val="24"/>
          <w:bdr w:val="none" w:sz="0" w:space="0" w:color="auto" w:frame="1"/>
          <w:rtl/>
        </w:rPr>
        <w:t>1433هـ</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رقم الإيداع </w:t>
      </w:r>
      <w:r w:rsidRPr="00096C25">
        <w:rPr>
          <w:rFonts w:ascii="Tahoma" w:eastAsia="Times New Roman" w:hAnsi="Tahoma" w:cs="Tahoma"/>
          <w:b/>
          <w:bCs/>
          <w:color w:val="314318"/>
          <w:sz w:val="24"/>
          <w:szCs w:val="24"/>
          <w:bdr w:val="none" w:sz="0" w:space="0" w:color="auto" w:frame="1"/>
          <w:rtl/>
        </w:rPr>
        <w:t>: 1354  / 1434</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000080"/>
          <w:sz w:val="24"/>
          <w:szCs w:val="24"/>
          <w:bdr w:val="none" w:sz="0" w:space="0" w:color="auto" w:frame="1"/>
          <w:rtl/>
        </w:rPr>
        <w:t>دار النشر : </w:t>
      </w:r>
      <w:r w:rsidRPr="00096C25">
        <w:rPr>
          <w:rFonts w:ascii="Tahoma" w:eastAsia="Times New Roman" w:hAnsi="Tahoma" w:cs="Tahoma"/>
          <w:b/>
          <w:bCs/>
          <w:color w:val="314318"/>
          <w:sz w:val="24"/>
          <w:szCs w:val="24"/>
          <w:bdr w:val="none" w:sz="0" w:space="0" w:color="auto" w:frame="1"/>
          <w:rtl/>
        </w:rPr>
        <w:t>مركز النشر والترجمة – جامعة المجمعة   </w:t>
      </w:r>
      <w:r w:rsidRPr="00096C25">
        <w:rPr>
          <w:rFonts w:ascii="Tahoma" w:eastAsia="Times New Roman" w:hAnsi="Tahoma" w:cs="Tahoma"/>
          <w:b/>
          <w:bCs/>
          <w:color w:val="314318"/>
          <w:sz w:val="24"/>
          <w:szCs w:val="24"/>
          <w:bdr w:val="none" w:sz="0" w:space="0" w:color="auto" w:frame="1"/>
        </w:rPr>
        <w:t>ISBN: 1658 – 6352          </w:t>
      </w:r>
    </w:p>
    <w:p w:rsidR="00096C25" w:rsidRPr="00096C25" w:rsidRDefault="00096C25" w:rsidP="00096C25">
      <w:pPr>
        <w:spacing w:after="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b/>
          <w:bCs/>
          <w:color w:val="4B0082"/>
          <w:sz w:val="24"/>
          <w:szCs w:val="24"/>
          <w:u w:val="single"/>
          <w:bdr w:val="none" w:sz="0" w:space="0" w:color="auto" w:frame="1"/>
          <w:rtl/>
        </w:rPr>
        <w:t>لماذا هذا الكتاب ؟</w:t>
      </w:r>
    </w:p>
    <w:p w:rsidR="00096C25" w:rsidRPr="00096C25" w:rsidRDefault="00096C25" w:rsidP="00096C25">
      <w:pPr>
        <w:spacing w:after="48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color w:val="314318"/>
          <w:sz w:val="20"/>
          <w:szCs w:val="20"/>
          <w:rtl/>
        </w:rPr>
        <w:t>        لا شك  أن للموروث الثقافي والديني والتاريخي أهميته في شعرنا السعودي الحديث  والمعاصر، إذ يُعد التراث منبعاً ثرياً من منابع الإلهام الشعري ، نهل منه الشعراء متمثلين شخصياته وأبطاله في  العديد من صورهم الشعورية الحديثة. ومن ثم استطاع هؤلاء الشعراء أن يعكسوا من خلال الارتداد إلي شخصيات التراث روح العصر من جهة ، و أصالة الماضي من جهة أخرى، وأن  يعيدوا بناء الماضي وفق رؤية إنسانية معاصرة . مما يعني أن الماضي يعيش في الحاضر ويرتبط معه بعلاقة جدلية تعتمد على التأثير والتأثر.</w:t>
      </w:r>
    </w:p>
    <w:p w:rsidR="00096C25" w:rsidRPr="00096C25" w:rsidRDefault="00096C25" w:rsidP="00096C25">
      <w:pPr>
        <w:spacing w:after="48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color w:val="314318"/>
          <w:sz w:val="20"/>
          <w:szCs w:val="20"/>
          <w:rtl/>
        </w:rPr>
        <w:t>       كان بديهياً إذن أن يتأثر شعراء عصرنا بالشخصيات الدينية والتاريخية و والأدبية التي يحفل بها التراث السعودي، ومن ثم عُد توظيف التراث في الشعر السعودي المعاصر، واستدعاء شخصياته من أكثر الموضوعات التي وجد الشعراء فيها ضالتهم للتعبير عما يعتلج في نفوسهم ويختلج في وجدانهم من تجارب ومشاعر.</w:t>
      </w:r>
    </w:p>
    <w:p w:rsidR="00096C25" w:rsidRPr="00096C25" w:rsidRDefault="00096C25" w:rsidP="00096C25">
      <w:pPr>
        <w:spacing w:after="48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color w:val="314318"/>
          <w:sz w:val="20"/>
          <w:szCs w:val="20"/>
          <w:rtl/>
        </w:rPr>
        <w:t>        عرض هذا الكتاب لمفهوم الاستدعاء في الشعر، ثم تحدث عما يُقصد بمفهوم التراث ،  وتناول بالتفصيل الحديث عن مواقف الشعراء العرب عموما من التراث . عقب ذلك فصل الكلام عن البواعث الفكرية والفنية لاستدعاء الشخصيات التراثية في الشعر  السعودي، أخيراً تناول الكتاب بالتفصيل الحديث عن اتجاه الشعراء السعوديين نحو استدعاء الشخصيات التراثية، والأطوار التي مر بها هذا الاستدعاء ، وأبرز الأعلام الذين تم استدعائهم في الصور والتجارب الشعرية المعاصرة.</w:t>
      </w:r>
    </w:p>
    <w:p w:rsidR="00096C25" w:rsidRPr="00096C25" w:rsidRDefault="00096C25" w:rsidP="00096C25">
      <w:pPr>
        <w:spacing w:after="480" w:line="480" w:lineRule="atLeast"/>
        <w:jc w:val="both"/>
        <w:textAlignment w:val="top"/>
        <w:rPr>
          <w:rFonts w:ascii="Tahoma" w:eastAsia="Times New Roman" w:hAnsi="Tahoma" w:cs="Tahoma"/>
          <w:color w:val="314318"/>
          <w:sz w:val="20"/>
          <w:szCs w:val="20"/>
          <w:rtl/>
        </w:rPr>
      </w:pPr>
      <w:r w:rsidRPr="00096C25">
        <w:rPr>
          <w:rFonts w:ascii="Tahoma" w:eastAsia="Times New Roman" w:hAnsi="Tahoma" w:cs="Tahoma"/>
          <w:color w:val="314318"/>
          <w:sz w:val="20"/>
          <w:szCs w:val="20"/>
          <w:rtl/>
        </w:rPr>
        <w:t xml:space="preserve"> ويمكن القول بناء على ذلك أن استدعاء الشخصيات التراثية في الشعر السعودي من أكثر الموضوعات غنى وثراءً من الوجهة </w:t>
      </w:r>
      <w:proofErr w:type="spellStart"/>
      <w:r w:rsidRPr="00096C25">
        <w:rPr>
          <w:rFonts w:ascii="Tahoma" w:eastAsia="Times New Roman" w:hAnsi="Tahoma" w:cs="Tahoma"/>
          <w:color w:val="314318"/>
          <w:sz w:val="20"/>
          <w:szCs w:val="20"/>
          <w:rtl/>
        </w:rPr>
        <w:t>المضمونية</w:t>
      </w:r>
      <w:proofErr w:type="spellEnd"/>
      <w:r w:rsidRPr="00096C25">
        <w:rPr>
          <w:rFonts w:ascii="Tahoma" w:eastAsia="Times New Roman" w:hAnsi="Tahoma" w:cs="Tahoma"/>
          <w:color w:val="314318"/>
          <w:sz w:val="20"/>
          <w:szCs w:val="20"/>
          <w:rtl/>
        </w:rPr>
        <w:t xml:space="preserve"> والفنية . مما يجعل هذا الكتاب  ذا قيمة كبيرة في المكتبة الأدبية العربية .  </w:t>
      </w:r>
    </w:p>
    <w:p w:rsidR="00096C25" w:rsidRPr="00096C25" w:rsidRDefault="00096C25" w:rsidP="00096C25">
      <w:pPr>
        <w:spacing w:after="480" w:line="480" w:lineRule="atLeast"/>
        <w:jc w:val="center"/>
        <w:textAlignment w:val="top"/>
        <w:rPr>
          <w:rFonts w:ascii="Tahoma" w:eastAsia="Times New Roman" w:hAnsi="Tahoma" w:cs="Tahoma"/>
          <w:color w:val="314318"/>
          <w:sz w:val="20"/>
          <w:szCs w:val="20"/>
          <w:rtl/>
        </w:rPr>
      </w:pPr>
      <w:r w:rsidRPr="00096C25">
        <w:rPr>
          <w:rFonts w:ascii="Tahoma" w:eastAsia="Times New Roman" w:hAnsi="Tahoma" w:cs="Tahoma"/>
          <w:color w:val="314318"/>
          <w:sz w:val="20"/>
          <w:szCs w:val="20"/>
          <w:rtl/>
        </w:rPr>
        <w:lastRenderedPageBreak/>
        <w:t> </w:t>
      </w:r>
    </w:p>
    <w:p w:rsidR="00096C25" w:rsidRPr="00096C25" w:rsidRDefault="00096C25" w:rsidP="00096C25">
      <w:pPr>
        <w:spacing w:after="0" w:line="480" w:lineRule="atLeast"/>
        <w:jc w:val="center"/>
        <w:textAlignment w:val="top"/>
        <w:rPr>
          <w:rFonts w:ascii="Tahoma" w:eastAsia="Times New Roman" w:hAnsi="Tahoma" w:cs="Tahoma"/>
          <w:color w:val="314318"/>
          <w:sz w:val="20"/>
          <w:szCs w:val="20"/>
          <w:rtl/>
        </w:rPr>
      </w:pPr>
      <w:bookmarkStart w:id="0" w:name="_GoBack"/>
      <w:r>
        <w:rPr>
          <w:rFonts w:ascii="Tahoma" w:eastAsia="Times New Roman" w:hAnsi="Tahoma" w:cs="Tahoma"/>
          <w:b/>
          <w:bCs/>
          <w:noProof/>
          <w:color w:val="314318"/>
          <w:sz w:val="24"/>
          <w:szCs w:val="24"/>
          <w:bdr w:val="none" w:sz="0" w:space="0" w:color="auto" w:frame="1"/>
        </w:rPr>
        <w:drawing>
          <wp:inline distT="0" distB="0" distL="0" distR="0">
            <wp:extent cx="5248275" cy="7362825"/>
            <wp:effectExtent l="0" t="0" r="9525" b="9525"/>
            <wp:docPr id="1" name="صورة 1" descr="http://mu.edu.sa/sites/default/files/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New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7362825"/>
                    </a:xfrm>
                    <a:prstGeom prst="rect">
                      <a:avLst/>
                    </a:prstGeom>
                    <a:noFill/>
                    <a:ln>
                      <a:noFill/>
                    </a:ln>
                  </pic:spPr>
                </pic:pic>
              </a:graphicData>
            </a:graphic>
          </wp:inline>
        </w:drawing>
      </w:r>
      <w:bookmarkEnd w:id="0"/>
    </w:p>
    <w:p w:rsidR="00096C25" w:rsidRDefault="00096C25" w:rsidP="00CA79BC">
      <w:pPr>
        <w:pStyle w:val="a4"/>
        <w:shd w:val="clear" w:color="auto" w:fill="FFFFFF"/>
        <w:spacing w:before="0" w:beforeAutospacing="0" w:after="480" w:afterAutospacing="0" w:line="390" w:lineRule="atLeast"/>
        <w:jc w:val="right"/>
        <w:textAlignment w:val="top"/>
        <w:rPr>
          <w:rFonts w:hint="cs"/>
          <w:color w:val="314318"/>
        </w:rPr>
      </w:pPr>
    </w:p>
    <w:sectPr w:rsidR="00096C25" w:rsidSect="00A40112">
      <w:pgSz w:w="11906" w:h="16838"/>
      <w:pgMar w:top="1440"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96C25"/>
    <w:rsid w:val="001C102E"/>
    <w:rsid w:val="001C7041"/>
    <w:rsid w:val="00282CC6"/>
    <w:rsid w:val="003072D7"/>
    <w:rsid w:val="00360866"/>
    <w:rsid w:val="003E7E81"/>
    <w:rsid w:val="00521F8E"/>
    <w:rsid w:val="005956A8"/>
    <w:rsid w:val="00633389"/>
    <w:rsid w:val="006E389F"/>
    <w:rsid w:val="00710DD3"/>
    <w:rsid w:val="00783EB0"/>
    <w:rsid w:val="008504A3"/>
    <w:rsid w:val="00A40112"/>
    <w:rsid w:val="00A96E65"/>
    <w:rsid w:val="00B10D66"/>
    <w:rsid w:val="00B1273A"/>
    <w:rsid w:val="00B20F9C"/>
    <w:rsid w:val="00B84CC4"/>
    <w:rsid w:val="00B96405"/>
    <w:rsid w:val="00C0761B"/>
    <w:rsid w:val="00C94706"/>
    <w:rsid w:val="00CA79BC"/>
    <w:rsid w:val="00CF1D51"/>
    <w:rsid w:val="00D02538"/>
    <w:rsid w:val="00D22492"/>
    <w:rsid w:val="00D62756"/>
    <w:rsid w:val="00E00B01"/>
    <w:rsid w:val="00E91AC0"/>
    <w:rsid w:val="00EF799B"/>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2015-04-14T09:01:00Z</cp:lastPrinted>
  <dcterms:created xsi:type="dcterms:W3CDTF">2015-04-14T09:03:00Z</dcterms:created>
  <dcterms:modified xsi:type="dcterms:W3CDTF">2015-04-14T09:03:00Z</dcterms:modified>
</cp:coreProperties>
</file>