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E6" w:rsidRDefault="00FE62E6" w:rsidP="00FE62E6">
      <w:pPr>
        <w:pStyle w:val="a4"/>
        <w:autoSpaceDE w:val="0"/>
        <w:autoSpaceDN w:val="0"/>
        <w:adjustRightInd w:val="0"/>
        <w:spacing w:before="240" w:after="0" w:line="360" w:lineRule="auto"/>
        <w:ind w:left="509"/>
        <w:jc w:val="center"/>
        <w:rPr>
          <w:rFonts w:ascii="AdobeArabic-Regular" w:cs="GE SS Text Light" w:hint="cs"/>
          <w:rtl/>
        </w:rPr>
      </w:pPr>
      <w:bookmarkStart w:id="0" w:name="_GoBack"/>
      <w:r w:rsidRPr="00107146">
        <w:rPr>
          <w:rFonts w:ascii="AdobeArabic-Regular" w:cs="GE SS Text Light" w:hint="cs"/>
          <w:rtl/>
        </w:rPr>
        <w:t>البرامج التدريبية المختلفة لتطوير الجهاز الأكاديمي</w:t>
      </w:r>
      <w:r w:rsidRPr="00107146">
        <w:rPr>
          <w:rFonts w:ascii="AdobeArabic-Regular" w:cs="GE SS Text Light"/>
          <w:rtl/>
        </w:rPr>
        <w:t xml:space="preserve"> بالكلية</w:t>
      </w:r>
    </w:p>
    <w:bookmarkEnd w:id="0"/>
    <w:p w:rsidR="00FE62E6" w:rsidRPr="00442503" w:rsidRDefault="00FE62E6" w:rsidP="00FE62E6">
      <w:pPr>
        <w:pStyle w:val="a4"/>
        <w:autoSpaceDE w:val="0"/>
        <w:autoSpaceDN w:val="0"/>
        <w:adjustRightInd w:val="0"/>
        <w:spacing w:before="240" w:after="0" w:line="360" w:lineRule="auto"/>
        <w:ind w:left="509"/>
        <w:jc w:val="both"/>
        <w:rPr>
          <w:rFonts w:ascii="AdobeArabic-Regular" w:cs="GE SS Text Light" w:hint="cs"/>
          <w:color w:val="FF0000"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 xml:space="preserve"> </w:t>
      </w:r>
    </w:p>
    <w:p w:rsidR="00FE62E6" w:rsidRDefault="00FE62E6" w:rsidP="00FE62E6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509" w:hanging="283"/>
        <w:jc w:val="both"/>
        <w:rPr>
          <w:rFonts w:ascii="AdobeArabic-Regular" w:cs="GE SS Text Light"/>
          <w:color w:val="FF0000"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 xml:space="preserve">  </w:t>
      </w:r>
      <w:r w:rsidRPr="008F15C1">
        <w:rPr>
          <w:rFonts w:cs="GE SS Text Light" w:hint="cs"/>
          <w:color w:val="000000" w:themeColor="text1"/>
          <w:sz w:val="24"/>
          <w:szCs w:val="24"/>
          <w:rtl/>
        </w:rPr>
        <w:t xml:space="preserve">تهتم </w:t>
      </w:r>
      <w:r w:rsidRPr="00E041CD">
        <w:rPr>
          <w:rFonts w:cs="GE SS Text Light" w:hint="cs"/>
          <w:color w:val="000000" w:themeColor="text1"/>
          <w:sz w:val="24"/>
          <w:szCs w:val="24"/>
          <w:rtl/>
        </w:rPr>
        <w:t xml:space="preserve">الجامعة وتتفق معها الكلية على أهمية التدريب المستمر سواء للجانب </w:t>
      </w:r>
      <w:r>
        <w:rPr>
          <w:rFonts w:cs="GE SS Text Light" w:hint="cs"/>
          <w:color w:val="000000" w:themeColor="text1"/>
          <w:sz w:val="24"/>
          <w:szCs w:val="24"/>
          <w:rtl/>
        </w:rPr>
        <w:t>الأكاديمي</w:t>
      </w:r>
      <w:r w:rsidRPr="00E041CD">
        <w:rPr>
          <w:rFonts w:cs="GE SS Text Light" w:hint="cs"/>
          <w:color w:val="000000" w:themeColor="text1"/>
          <w:sz w:val="24"/>
          <w:szCs w:val="24"/>
          <w:rtl/>
        </w:rPr>
        <w:t xml:space="preserve"> أو الجانب ال</w:t>
      </w:r>
      <w:r>
        <w:rPr>
          <w:rFonts w:cs="GE SS Text Light" w:hint="cs"/>
          <w:color w:val="000000" w:themeColor="text1"/>
          <w:sz w:val="24"/>
          <w:szCs w:val="24"/>
          <w:rtl/>
        </w:rPr>
        <w:t>إداري</w:t>
      </w:r>
      <w:r w:rsidRPr="00E041CD">
        <w:rPr>
          <w:rFonts w:cs="GE SS Text Light" w:hint="cs"/>
          <w:color w:val="000000" w:themeColor="text1"/>
          <w:sz w:val="24"/>
          <w:szCs w:val="24"/>
          <w:rtl/>
        </w:rPr>
        <w:t xml:space="preserve"> حيث يتم باستمرار إتاحة برامج تدريبية تتنوع بين دورات تدريبية وورش عمل ومحاضرات تثقيفية عامة أو تخصصية أو ندوات , كما يتنوع مكان التنفيذ والجهة المنفذة ما بين داخل </w:t>
      </w:r>
      <w:r>
        <w:rPr>
          <w:rFonts w:cs="GE SS Text Light" w:hint="cs"/>
          <w:color w:val="000000" w:themeColor="text1"/>
          <w:sz w:val="24"/>
          <w:szCs w:val="24"/>
          <w:rtl/>
        </w:rPr>
        <w:t>الأقسام</w:t>
      </w:r>
      <w:r w:rsidRPr="00E041CD">
        <w:rPr>
          <w:rFonts w:cs="GE SS Text Light" w:hint="cs"/>
          <w:color w:val="000000" w:themeColor="text1"/>
          <w:sz w:val="24"/>
          <w:szCs w:val="24"/>
          <w:rtl/>
        </w:rPr>
        <w:t xml:space="preserve"> </w:t>
      </w:r>
      <w:r>
        <w:rPr>
          <w:rFonts w:cs="GE SS Text Light" w:hint="cs"/>
          <w:color w:val="000000" w:themeColor="text1"/>
          <w:sz w:val="24"/>
          <w:szCs w:val="24"/>
          <w:rtl/>
        </w:rPr>
        <w:t>الأكاديمي</w:t>
      </w:r>
      <w:r w:rsidRPr="00E041CD">
        <w:rPr>
          <w:rFonts w:cs="GE SS Text Light" w:hint="cs"/>
          <w:color w:val="000000" w:themeColor="text1"/>
          <w:sz w:val="24"/>
          <w:szCs w:val="24"/>
          <w:rtl/>
        </w:rPr>
        <w:t xml:space="preserve">ة أو على مستوي الكلية أو خارج الكلية داخل الجامعة أو خارجها وتشجع إدارة الجامعة والكلية باستمرار على الالتحاق بالبرامج التدريبية لتطوير المهارات للجانبيين </w:t>
      </w:r>
      <w:r>
        <w:rPr>
          <w:rFonts w:cs="GE SS Text Light" w:hint="cs"/>
          <w:color w:val="000000" w:themeColor="text1"/>
          <w:sz w:val="24"/>
          <w:szCs w:val="24"/>
          <w:rtl/>
        </w:rPr>
        <w:t>الأكاديمي</w:t>
      </w:r>
      <w:r w:rsidRPr="00E041CD">
        <w:rPr>
          <w:rFonts w:cs="GE SS Text Light" w:hint="cs"/>
          <w:color w:val="000000" w:themeColor="text1"/>
          <w:sz w:val="24"/>
          <w:szCs w:val="24"/>
          <w:rtl/>
        </w:rPr>
        <w:t xml:space="preserve"> وال</w:t>
      </w:r>
      <w:r>
        <w:rPr>
          <w:rFonts w:cs="GE SS Text Light" w:hint="cs"/>
          <w:color w:val="000000" w:themeColor="text1"/>
          <w:sz w:val="24"/>
          <w:szCs w:val="24"/>
          <w:rtl/>
        </w:rPr>
        <w:t>إداري</w:t>
      </w:r>
      <w:r w:rsidRPr="00E041CD">
        <w:rPr>
          <w:rFonts w:cs="GE SS Text Light" w:hint="cs"/>
          <w:color w:val="000000" w:themeColor="text1"/>
          <w:sz w:val="24"/>
          <w:szCs w:val="24"/>
          <w:rtl/>
        </w:rPr>
        <w:t>.</w:t>
      </w:r>
    </w:p>
    <w:p w:rsidR="00FE62E6" w:rsidRPr="00107146" w:rsidRDefault="00FE62E6" w:rsidP="00FE62E6">
      <w:pPr>
        <w:autoSpaceDE w:val="0"/>
        <w:autoSpaceDN w:val="0"/>
        <w:adjustRightInd w:val="0"/>
        <w:spacing w:before="240" w:after="0" w:line="240" w:lineRule="auto"/>
        <w:ind w:left="708"/>
        <w:jc w:val="center"/>
        <w:rPr>
          <w:rFonts w:ascii="AdobeArabic-Regular" w:cs="GE SS Text Light"/>
          <w:rtl/>
        </w:rPr>
      </w:pPr>
      <w:r w:rsidRPr="00107146">
        <w:rPr>
          <w:rFonts w:ascii="AdobeArabic-Regular" w:cs="GE SS Text Light"/>
          <w:rtl/>
        </w:rPr>
        <w:t xml:space="preserve">عدد </w:t>
      </w:r>
      <w:r w:rsidRPr="00107146">
        <w:rPr>
          <w:rFonts w:ascii="AdobeArabic-Regular" w:cs="GE SS Text Light" w:hint="cs"/>
          <w:rtl/>
        </w:rPr>
        <w:t>البرامج التدريبية المختلفة لتطوير الجهاز الأكاديمي</w:t>
      </w:r>
      <w:r w:rsidRPr="00107146">
        <w:rPr>
          <w:rFonts w:ascii="AdobeArabic-Regular" w:cs="GE SS Text Light"/>
          <w:rtl/>
        </w:rPr>
        <w:t xml:space="preserve"> بالكلية موزعين </w:t>
      </w:r>
      <w:proofErr w:type="gramStart"/>
      <w:r w:rsidRPr="00107146">
        <w:rPr>
          <w:rFonts w:ascii="AdobeArabic-Regular" w:cs="GE SS Text Light"/>
          <w:rtl/>
        </w:rPr>
        <w:t>حسب</w:t>
      </w:r>
      <w:proofErr w:type="gramEnd"/>
      <w:r w:rsidRPr="00107146">
        <w:rPr>
          <w:rFonts w:ascii="AdobeArabic-Regular" w:cs="GE SS Text Light" w:hint="cs"/>
          <w:rtl/>
        </w:rPr>
        <w:t xml:space="preserve"> نوع و</w:t>
      </w:r>
      <w:r w:rsidRPr="00107146">
        <w:rPr>
          <w:rFonts w:ascii="AdobeArabic-Regular" w:cs="GE SS Text Light"/>
          <w:rtl/>
        </w:rPr>
        <w:t xml:space="preserve"> </w:t>
      </w:r>
      <w:r w:rsidRPr="00107146">
        <w:rPr>
          <w:rFonts w:ascii="AdobeArabic-Regular" w:cs="GE SS Text Light" w:hint="cs"/>
          <w:rtl/>
        </w:rPr>
        <w:t>أعداد البرامج وعدد المشاركين:</w:t>
      </w:r>
    </w:p>
    <w:tbl>
      <w:tblPr>
        <w:tblStyle w:val="a3"/>
        <w:bidiVisual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1170"/>
        <w:gridCol w:w="990"/>
        <w:gridCol w:w="900"/>
        <w:gridCol w:w="1111"/>
        <w:gridCol w:w="16"/>
        <w:gridCol w:w="980"/>
        <w:gridCol w:w="16"/>
        <w:gridCol w:w="981"/>
        <w:gridCol w:w="16"/>
        <w:gridCol w:w="1041"/>
        <w:gridCol w:w="1145"/>
      </w:tblGrid>
      <w:tr w:rsidR="00FE62E6" w:rsidRPr="00C43EFD" w:rsidTr="00E32C74">
        <w:trPr>
          <w:trHeight w:val="587"/>
          <w:jc w:val="center"/>
        </w:trPr>
        <w:tc>
          <w:tcPr>
            <w:tcW w:w="173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نوع البرنامج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proofErr w:type="gramStart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برامج</w:t>
            </w:r>
            <w:proofErr w:type="gramEnd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 xml:space="preserve"> داخل الأقسام</w:t>
            </w:r>
          </w:p>
        </w:tc>
        <w:tc>
          <w:tcPr>
            <w:tcW w:w="20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proofErr w:type="gramStart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برامج</w:t>
            </w:r>
            <w:proofErr w:type="gramEnd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 xml:space="preserve"> داخل الكلية</w:t>
            </w:r>
          </w:p>
        </w:tc>
        <w:tc>
          <w:tcPr>
            <w:tcW w:w="19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proofErr w:type="gramStart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برامج</w:t>
            </w:r>
            <w:proofErr w:type="gramEnd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 xml:space="preserve"> خارج الكلية</w:t>
            </w:r>
          </w:p>
        </w:tc>
        <w:tc>
          <w:tcPr>
            <w:tcW w:w="22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الإجمالي</w:t>
            </w:r>
          </w:p>
        </w:tc>
      </w:tr>
      <w:tr w:rsidR="00FE62E6" w:rsidRPr="00C43EFD" w:rsidTr="00E32C74">
        <w:trPr>
          <w:trHeight w:val="587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D9D9D9" w:themeFill="background1" w:themeFillShade="D9"/>
            <w:vAlign w:val="center"/>
            <w:hideMark/>
          </w:tcPr>
          <w:p w:rsidR="00FE62E6" w:rsidRPr="00C43EFD" w:rsidRDefault="00FE62E6" w:rsidP="00E32C74">
            <w:pPr>
              <w:rPr>
                <w:rFonts w:ascii="AdobeArabic-Regular" w:hAnsi="AdobeArabic-Regular" w:cs="GE SS Text Ligh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rtl/>
              </w:rPr>
            </w:pPr>
            <w:r w:rsidRPr="00C43EFD">
              <w:rPr>
                <w:rFonts w:ascii="Ge ss" w:hAnsi="Ge ss" w:cs="GE SS Text Light" w:hint="cs"/>
                <w:color w:val="FFFFFF" w:themeColor="background1"/>
                <w:rtl/>
              </w:rPr>
              <w:t>عدد البرامج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عدد المشاركين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rtl/>
              </w:rPr>
            </w:pPr>
            <w:r w:rsidRPr="00C43EFD">
              <w:rPr>
                <w:rFonts w:ascii="Ge ss" w:hAnsi="Ge ss" w:cs="GE SS Text Light" w:hint="cs"/>
                <w:color w:val="FFFFFF" w:themeColor="background1"/>
                <w:rtl/>
              </w:rPr>
              <w:t>عدد البرامج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عدد المشاركين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rtl/>
              </w:rPr>
            </w:pPr>
            <w:r w:rsidRPr="00C43EFD">
              <w:rPr>
                <w:rFonts w:ascii="Ge ss" w:hAnsi="Ge ss" w:cs="GE SS Text Light" w:hint="cs"/>
                <w:color w:val="FFFFFF" w:themeColor="background1"/>
                <w:rtl/>
              </w:rPr>
              <w:t>عدد البرامج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عدد المشاركين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rtl/>
              </w:rPr>
            </w:pPr>
            <w:r w:rsidRPr="00C43EFD">
              <w:rPr>
                <w:rFonts w:ascii="Ge ss" w:hAnsi="Ge ss" w:cs="GE SS Text Light" w:hint="cs"/>
                <w:color w:val="FFFFFF" w:themeColor="background1"/>
                <w:rtl/>
              </w:rPr>
              <w:t>عدد البرامج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عدد المشاركين</w:t>
            </w:r>
          </w:p>
        </w:tc>
      </w:tr>
      <w:tr w:rsidR="00FE62E6" w:rsidRPr="00C43EFD" w:rsidTr="00E32C74">
        <w:trPr>
          <w:trHeight w:val="587"/>
          <w:jc w:val="center"/>
        </w:trPr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proofErr w:type="gramStart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دورات</w:t>
            </w:r>
            <w:proofErr w:type="gramEnd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 xml:space="preserve"> تدريبية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 w:rsidRPr="00C43EFD">
              <w:rPr>
                <w:rFonts w:ascii="AdobeArabic-Regular" w:hAnsi="AdobeArabic-Regular" w:cs="GE SS Text Light" w:hint="cs"/>
                <w:rtl/>
              </w:rPr>
              <w:t>18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33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  <w:lang w:bidi="ar-JO"/>
              </w:rPr>
            </w:pPr>
            <w:r>
              <w:rPr>
                <w:rFonts w:ascii="AdobeArabic-Regular" w:hAnsi="AdobeArabic-Regular" w:cs="GE SS Text Light" w:hint="cs"/>
                <w:rtl/>
                <w:lang w:bidi="ar-JO"/>
              </w:rPr>
              <w:t>25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67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  <w:lang w:bidi="ar-JO"/>
              </w:rPr>
            </w:pPr>
            <w:r>
              <w:rPr>
                <w:rFonts w:ascii="AdobeArabic-Regular" w:hAnsi="AdobeArabic-Regular" w:cs="GE SS Text Light" w:hint="cs"/>
                <w:rtl/>
              </w:rPr>
              <w:t>9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28</w:t>
            </w:r>
          </w:p>
        </w:tc>
        <w:tc>
          <w:tcPr>
            <w:tcW w:w="1057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52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128</w:t>
            </w:r>
          </w:p>
        </w:tc>
      </w:tr>
      <w:tr w:rsidR="00FE62E6" w:rsidRPr="00C43EFD" w:rsidTr="00E32C74">
        <w:trPr>
          <w:trHeight w:val="587"/>
          <w:jc w:val="center"/>
        </w:trPr>
        <w:tc>
          <w:tcPr>
            <w:tcW w:w="1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proofErr w:type="gramStart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ورش</w:t>
            </w:r>
            <w:proofErr w:type="gramEnd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 xml:space="preserve"> عمل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 w:rsidRPr="00C43EFD">
              <w:rPr>
                <w:rFonts w:ascii="AdobeArabic-Regular" w:hAnsi="AdobeArabic-Regular" w:cs="GE SS Text Light" w:hint="cs"/>
                <w:rtl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32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14</w:t>
            </w:r>
          </w:p>
        </w:tc>
        <w:tc>
          <w:tcPr>
            <w:tcW w:w="1057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18</w:t>
            </w:r>
          </w:p>
        </w:tc>
        <w:tc>
          <w:tcPr>
            <w:tcW w:w="1145" w:type="dxa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58</w:t>
            </w:r>
          </w:p>
        </w:tc>
      </w:tr>
      <w:tr w:rsidR="00FE62E6" w:rsidRPr="00C43EFD" w:rsidTr="00E32C74">
        <w:trPr>
          <w:trHeight w:val="587"/>
          <w:jc w:val="center"/>
        </w:trPr>
        <w:tc>
          <w:tcPr>
            <w:tcW w:w="17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proofErr w:type="gramStart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محاضرات</w:t>
            </w:r>
            <w:proofErr w:type="gramEnd"/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 xml:space="preserve"> تثقيفية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 w:rsidRPr="00C43EFD">
              <w:rPr>
                <w:rFonts w:ascii="AdobeArabic-Regular" w:hAnsi="AdobeArabic-Regular" w:cs="GE SS Text Light" w:hint="cs"/>
                <w:rtl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48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18</w:t>
            </w:r>
          </w:p>
        </w:tc>
        <w:tc>
          <w:tcPr>
            <w:tcW w:w="1057" w:type="dxa"/>
            <w:gridSpan w:val="2"/>
            <w:tcBorders>
              <w:left w:val="double" w:sz="4" w:space="0" w:color="auto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34</w:t>
            </w:r>
          </w:p>
        </w:tc>
        <w:tc>
          <w:tcPr>
            <w:tcW w:w="1145" w:type="dxa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92</w:t>
            </w:r>
          </w:p>
        </w:tc>
      </w:tr>
      <w:tr w:rsidR="00FE62E6" w:rsidRPr="00C43EFD" w:rsidTr="00E32C74">
        <w:trPr>
          <w:trHeight w:val="185"/>
          <w:jc w:val="center"/>
        </w:trPr>
        <w:tc>
          <w:tcPr>
            <w:tcW w:w="17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</w:rPr>
            </w:pPr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 xml:space="preserve">ندوات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 w:rsidRPr="00C43EFD">
              <w:rPr>
                <w:rFonts w:ascii="AdobeArabic-Regular" w:hAnsi="AdobeArabic-Regular" w:cs="GE SS Text Light" w:hint="cs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</w:rPr>
            </w:pPr>
            <w:r>
              <w:rPr>
                <w:rFonts w:ascii="AdobeArabic-Regular" w:hAnsi="AdobeArabic-Regular" w:cs="GE SS Text Light" w:hint="cs"/>
                <w:rtl/>
              </w:rPr>
              <w:t>38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17</w:t>
            </w:r>
          </w:p>
        </w:tc>
        <w:tc>
          <w:tcPr>
            <w:tcW w:w="105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17</w:t>
            </w:r>
          </w:p>
        </w:tc>
        <w:tc>
          <w:tcPr>
            <w:tcW w:w="1145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79</w:t>
            </w:r>
          </w:p>
        </w:tc>
      </w:tr>
      <w:tr w:rsidR="00FE62E6" w:rsidRPr="008F15C1" w:rsidTr="00E32C74">
        <w:trPr>
          <w:trHeight w:val="155"/>
          <w:jc w:val="center"/>
        </w:trPr>
        <w:tc>
          <w:tcPr>
            <w:tcW w:w="173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rtl/>
                <w:lang w:bidi="ar-JO"/>
              </w:rPr>
            </w:pPr>
            <w:r w:rsidRPr="00C43EFD">
              <w:rPr>
                <w:rFonts w:ascii="AdobeArabic-Regular" w:hAnsi="AdobeArabic-Regular" w:cs="GE SS Text Light" w:hint="cs"/>
                <w:color w:val="FFFFFF" w:themeColor="background1"/>
                <w:rtl/>
              </w:rPr>
              <w:t>المجموع</w:t>
            </w:r>
          </w:p>
        </w:tc>
        <w:tc>
          <w:tcPr>
            <w:tcW w:w="1170" w:type="dxa"/>
            <w:tcBorders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000000" w:themeColor="text1"/>
                <w:rtl/>
              </w:rPr>
            </w:pPr>
            <w:r w:rsidRPr="00C43EFD">
              <w:rPr>
                <w:rFonts w:ascii="AdobeArabic-Regular" w:hAnsi="AdobeArabic-Regular" w:cs="GE SS Text Light" w:hint="cs"/>
                <w:color w:val="000000" w:themeColor="text1"/>
                <w:rtl/>
              </w:rPr>
              <w:t>34</w:t>
            </w:r>
          </w:p>
        </w:tc>
        <w:tc>
          <w:tcPr>
            <w:tcW w:w="990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color w:val="000000" w:themeColor="text1"/>
              </w:rPr>
            </w:pPr>
            <w:r w:rsidRPr="00C43EFD">
              <w:rPr>
                <w:rFonts w:ascii="AdobeArabic-Regular" w:hAnsi="AdobeArabic-Regular" w:cs="GE SS Text Light" w:hint="cs"/>
                <w:color w:val="000000" w:themeColor="text1"/>
                <w:rtl/>
              </w:rPr>
              <w:t>95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000000" w:themeColor="text1"/>
                <w:rtl/>
              </w:rPr>
            </w:pPr>
            <w:r w:rsidRPr="00C43EFD">
              <w:rPr>
                <w:rFonts w:ascii="AdobeArabic-Regular" w:hAnsi="AdobeArabic-Regular" w:cs="GE SS Text Light" w:hint="cs"/>
                <w:color w:val="000000" w:themeColor="text1"/>
                <w:rtl/>
              </w:rPr>
              <w:t>63</w:t>
            </w:r>
          </w:p>
        </w:tc>
        <w:tc>
          <w:tcPr>
            <w:tcW w:w="1127" w:type="dxa"/>
            <w:gridSpan w:val="2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000000" w:themeColor="text1"/>
                <w:rtl/>
              </w:rPr>
            </w:pPr>
            <w:r>
              <w:rPr>
                <w:rFonts w:ascii="AdobeArabic-Regular" w:hAnsi="AdobeArabic-Regular" w:cs="GE SS Text Light" w:hint="cs"/>
                <w:color w:val="000000" w:themeColor="text1"/>
                <w:rtl/>
              </w:rPr>
              <w:t>185</w:t>
            </w:r>
          </w:p>
        </w:tc>
        <w:tc>
          <w:tcPr>
            <w:tcW w:w="99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000000" w:themeColor="text1"/>
                <w:rtl/>
              </w:rPr>
            </w:pPr>
            <w:r>
              <w:rPr>
                <w:rFonts w:ascii="AdobeArabic-Regular" w:hAnsi="AdobeArabic-Regular" w:cs="GE SS Text Light" w:hint="cs"/>
                <w:color w:val="000000" w:themeColor="text1"/>
                <w:rtl/>
              </w:rPr>
              <w:t>24</w:t>
            </w:r>
          </w:p>
        </w:tc>
        <w:tc>
          <w:tcPr>
            <w:tcW w:w="997" w:type="dxa"/>
            <w:gridSpan w:val="2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E62E6" w:rsidRPr="00D04317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color w:val="000000" w:themeColor="text1"/>
              </w:rPr>
            </w:pPr>
            <w:r w:rsidRPr="00C43EFD">
              <w:rPr>
                <w:rFonts w:ascii="AdobeArabic-Regular" w:hAnsi="AdobeArabic-Regular" w:cs="GE SS Text Light" w:hint="cs"/>
                <w:color w:val="000000" w:themeColor="text1"/>
                <w:rtl/>
              </w:rPr>
              <w:t>77</w:t>
            </w:r>
          </w:p>
        </w:tc>
        <w:tc>
          <w:tcPr>
            <w:tcW w:w="1041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000000" w:themeColor="text1"/>
                <w:rtl/>
              </w:rPr>
            </w:pPr>
            <w:r w:rsidRPr="00C43EFD">
              <w:rPr>
                <w:rFonts w:ascii="AdobeArabic-Regular" w:hAnsi="AdobeArabic-Regular" w:cs="GE SS Text Light" w:hint="cs"/>
                <w:color w:val="000000" w:themeColor="text1"/>
                <w:rtl/>
              </w:rPr>
              <w:t>121</w:t>
            </w:r>
          </w:p>
        </w:tc>
        <w:tc>
          <w:tcPr>
            <w:tcW w:w="1145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FE62E6" w:rsidRPr="00C43EFD" w:rsidRDefault="00FE62E6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000000" w:themeColor="text1"/>
                <w:rtl/>
              </w:rPr>
            </w:pPr>
            <w:r>
              <w:rPr>
                <w:rFonts w:ascii="AdobeArabic-Regular" w:hAnsi="AdobeArabic-Regular" w:cs="GE SS Text Light" w:hint="cs"/>
                <w:color w:val="000000" w:themeColor="text1"/>
                <w:rtl/>
              </w:rPr>
              <w:t>357</w:t>
            </w:r>
          </w:p>
        </w:tc>
      </w:tr>
    </w:tbl>
    <w:p w:rsidR="00FE62E6" w:rsidRDefault="00FE62E6" w:rsidP="00FE62E6">
      <w:pPr>
        <w:bidi w:val="0"/>
        <w:rPr>
          <w:rFonts w:cs="GE SS Text Light"/>
          <w:color w:val="000000" w:themeColor="text1"/>
          <w:sz w:val="24"/>
          <w:szCs w:val="24"/>
        </w:rPr>
      </w:pPr>
      <w:r>
        <w:rPr>
          <w:rFonts w:cs="GE SS Text Light" w:hint="cs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A38019B" wp14:editId="11A25DAB">
            <wp:simplePos x="0" y="0"/>
            <wp:positionH relativeFrom="column">
              <wp:posOffset>-542925</wp:posOffset>
            </wp:positionH>
            <wp:positionV relativeFrom="paragraph">
              <wp:posOffset>256540</wp:posOffset>
            </wp:positionV>
            <wp:extent cx="6353175" cy="3124200"/>
            <wp:effectExtent l="0" t="0" r="9525" b="19050"/>
            <wp:wrapNone/>
            <wp:docPr id="176" name="مخطط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:rsidR="00FE62E6" w:rsidRDefault="00FE62E6" w:rsidP="00FE62E6">
      <w:pPr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FE62E6" w:rsidRDefault="00FE62E6" w:rsidP="00FE62E6">
      <w:pPr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FE62E6" w:rsidRDefault="00FE62E6" w:rsidP="00FE62E6">
      <w:pPr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FE62E6" w:rsidRDefault="00FE62E6" w:rsidP="00FE62E6">
      <w:pPr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FE62E6" w:rsidRDefault="00FE62E6" w:rsidP="00FE62E6">
      <w:pPr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FE62E6" w:rsidRDefault="00FE62E6" w:rsidP="00FE62E6">
      <w:pPr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FE62E6" w:rsidRDefault="00FE62E6" w:rsidP="00FE62E6">
      <w:pPr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09104B" w:rsidRDefault="0009104B"/>
    <w:sectPr w:rsidR="000910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69F"/>
    <w:multiLevelType w:val="hybridMultilevel"/>
    <w:tmpl w:val="57966FC4"/>
    <w:lvl w:ilvl="0" w:tplc="3E04A8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E6"/>
    <w:rsid w:val="0009104B"/>
    <w:rsid w:val="001171A7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E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2E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2E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E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2E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2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EG" sz="1100" b="0"/>
            </a:pPr>
            <a:r>
              <a:rPr lang="ar-JO" sz="1100" b="0"/>
              <a:t>أنواع البرامج التدريبية المختلفة لتطوير الجهاز الأكاديمي وعددها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أنواع البرامج التدريبية المختلفة لتطوير الجهاز الأكاديمي وعددها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A4893E"/>
              </a:solidFill>
            </c:spPr>
          </c:dPt>
          <c:dPt>
            <c:idx val="1"/>
            <c:bubble3D val="0"/>
            <c:spPr>
              <a:solidFill>
                <a:srgbClr val="546831"/>
              </a:solidFill>
            </c:spPr>
          </c:dPt>
          <c:dPt>
            <c:idx val="3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</c:spPr>
          </c:dPt>
          <c:dLbls>
            <c:dLbl>
              <c:idx val="0"/>
              <c:layout>
                <c:manualLayout>
                  <c:x val="-0.11534456955894581"/>
                  <c:y val="-6.74212945173816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04117200588662E-4"/>
                  <c:y val="-0.229831448190010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932898648677623"/>
                  <c:y val="-0.104532245692496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088891329825834E-2"/>
                  <c:y val="8.4611085960653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ar-EG" sz="1150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ورقة1!$A$2:$A$5</c:f>
              <c:strCache>
                <c:ptCount val="4"/>
                <c:pt idx="0">
                  <c:v>دورات تدريبية</c:v>
                </c:pt>
                <c:pt idx="1">
                  <c:v>ورش عمل</c:v>
                </c:pt>
                <c:pt idx="2">
                  <c:v>محاضرات تثقيفية</c:v>
                </c:pt>
                <c:pt idx="3">
                  <c:v>ندوات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52</c:v>
                </c:pt>
                <c:pt idx="1">
                  <c:v>18</c:v>
                </c:pt>
                <c:pt idx="2">
                  <c:v>34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ar-EG"/>
          </a:pPr>
          <a:endParaRPr lang="ar-SA"/>
        </a:p>
      </c:txPr>
    </c:legend>
    <c:plotVisOnly val="1"/>
    <c:dispBlanksAs val="zero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AbdulMajeed Alutiwi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2015-03-27T00:15:00Z</dcterms:created>
  <dcterms:modified xsi:type="dcterms:W3CDTF">2015-03-27T00:16:00Z</dcterms:modified>
</cp:coreProperties>
</file>