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DD" w:rsidRPr="00155AB1" w:rsidRDefault="00CE29DD" w:rsidP="00351332">
      <w:pPr>
        <w:shd w:val="clear" w:color="auto" w:fill="FFFFFF"/>
        <w:spacing w:after="0" w:line="240" w:lineRule="auto"/>
        <w:jc w:val="center"/>
        <w:rPr>
          <w:rFonts w:ascii="Arial" w:eastAsia="Times New Roman" w:hAnsi="Arial" w:cs="Arial"/>
          <w:b/>
          <w:bCs/>
          <w:color w:val="FF0000"/>
          <w:sz w:val="28"/>
          <w:szCs w:val="28"/>
          <w:rtl/>
        </w:rPr>
      </w:pPr>
      <w:r w:rsidRPr="00CE29DD">
        <w:rPr>
          <w:rFonts w:ascii="Arial" w:eastAsia="Times New Roman" w:hAnsi="Arial" w:cs="Arial"/>
          <w:b/>
          <w:bCs/>
          <w:color w:val="FF0000"/>
          <w:sz w:val="28"/>
          <w:szCs w:val="28"/>
          <w:rtl/>
        </w:rPr>
        <w:t xml:space="preserve">قسم القانون </w:t>
      </w:r>
      <w:r w:rsidRPr="00155AB1">
        <w:rPr>
          <w:rFonts w:ascii="Arial" w:eastAsia="Times New Roman" w:hAnsi="Arial" w:cs="Arial" w:hint="cs"/>
          <w:b/>
          <w:bCs/>
          <w:color w:val="FF0000"/>
          <w:sz w:val="28"/>
          <w:szCs w:val="28"/>
          <w:rtl/>
        </w:rPr>
        <w:t>يقوم ب</w:t>
      </w:r>
      <w:r w:rsidRPr="00CE29DD">
        <w:rPr>
          <w:rFonts w:ascii="Arial" w:eastAsia="Times New Roman" w:hAnsi="Arial" w:cs="Arial"/>
          <w:b/>
          <w:bCs/>
          <w:color w:val="FF0000"/>
          <w:sz w:val="28"/>
          <w:szCs w:val="28"/>
          <w:rtl/>
        </w:rPr>
        <w:t>زيارة ميداني</w:t>
      </w:r>
      <w:r w:rsidR="00351332">
        <w:rPr>
          <w:rFonts w:ascii="Arial" w:eastAsia="Times New Roman" w:hAnsi="Arial" w:cs="Arial" w:hint="cs"/>
          <w:b/>
          <w:bCs/>
          <w:color w:val="FF0000"/>
          <w:sz w:val="28"/>
          <w:szCs w:val="28"/>
          <w:rtl/>
        </w:rPr>
        <w:t>ة</w:t>
      </w:r>
      <w:r w:rsidRPr="00CE29DD">
        <w:rPr>
          <w:rFonts w:ascii="Arial" w:eastAsia="Times New Roman" w:hAnsi="Arial" w:cs="Arial"/>
          <w:b/>
          <w:bCs/>
          <w:color w:val="FF0000"/>
          <w:sz w:val="28"/>
          <w:szCs w:val="28"/>
          <w:rtl/>
        </w:rPr>
        <w:t xml:space="preserve"> ال</w:t>
      </w:r>
      <w:r w:rsidRPr="00155AB1">
        <w:rPr>
          <w:rFonts w:ascii="Arial" w:eastAsia="Times New Roman" w:hAnsi="Arial" w:cs="Arial" w:hint="cs"/>
          <w:b/>
          <w:bCs/>
          <w:color w:val="FF0000"/>
          <w:sz w:val="28"/>
          <w:szCs w:val="28"/>
          <w:rtl/>
        </w:rPr>
        <w:t>ى</w:t>
      </w:r>
      <w:r w:rsidRPr="00CE29DD">
        <w:rPr>
          <w:rFonts w:ascii="Arial" w:eastAsia="Times New Roman" w:hAnsi="Arial" w:cs="Arial"/>
          <w:b/>
          <w:bCs/>
          <w:color w:val="FF0000"/>
          <w:sz w:val="28"/>
          <w:szCs w:val="28"/>
          <w:rtl/>
        </w:rPr>
        <w:t xml:space="preserve"> هيئ</w:t>
      </w:r>
      <w:r w:rsidR="00351332">
        <w:rPr>
          <w:rFonts w:ascii="Arial" w:eastAsia="Times New Roman" w:hAnsi="Arial" w:cs="Arial" w:hint="cs"/>
          <w:b/>
          <w:bCs/>
          <w:color w:val="FF0000"/>
          <w:sz w:val="28"/>
          <w:szCs w:val="28"/>
          <w:rtl/>
        </w:rPr>
        <w:t>ة</w:t>
      </w:r>
      <w:r w:rsidRPr="00CE29DD">
        <w:rPr>
          <w:rFonts w:ascii="Arial" w:eastAsia="Times New Roman" w:hAnsi="Arial" w:cs="Arial"/>
          <w:b/>
          <w:bCs/>
          <w:color w:val="FF0000"/>
          <w:sz w:val="28"/>
          <w:szCs w:val="28"/>
          <w:rtl/>
        </w:rPr>
        <w:t xml:space="preserve"> التحقيق والادعاء العام</w:t>
      </w:r>
    </w:p>
    <w:p w:rsidR="00CE29DD" w:rsidRDefault="00CE29DD" w:rsidP="00CE29DD">
      <w:pPr>
        <w:shd w:val="clear" w:color="auto" w:fill="FFFFFF"/>
        <w:spacing w:after="0" w:line="240" w:lineRule="auto"/>
        <w:jc w:val="both"/>
        <w:rPr>
          <w:rFonts w:ascii="Arial" w:eastAsia="Times New Roman" w:hAnsi="Arial" w:cs="Arial"/>
          <w:b/>
          <w:bCs/>
          <w:color w:val="000000"/>
          <w:sz w:val="28"/>
          <w:szCs w:val="28"/>
          <w:rtl/>
        </w:rPr>
      </w:pPr>
    </w:p>
    <w:p w:rsidR="00CE29DD" w:rsidRPr="00CE29DD" w:rsidRDefault="00CE29DD" w:rsidP="00351332">
      <w:pPr>
        <w:pStyle w:val="a3"/>
      </w:pPr>
      <w:bookmarkStart w:id="0" w:name="_GoBack"/>
      <w:r w:rsidRPr="00CE29DD">
        <w:rPr>
          <w:rtl/>
        </w:rPr>
        <w:t xml:space="preserve">قام </w:t>
      </w:r>
      <w:r>
        <w:rPr>
          <w:rFonts w:hint="cs"/>
          <w:rtl/>
        </w:rPr>
        <w:t xml:space="preserve">طلاب </w:t>
      </w:r>
      <w:r w:rsidRPr="00CE29DD">
        <w:rPr>
          <w:rtl/>
        </w:rPr>
        <w:t>قسم القانون</w:t>
      </w:r>
      <w:r w:rsidR="00155AB1">
        <w:rPr>
          <w:rFonts w:hint="cs"/>
          <w:rtl/>
        </w:rPr>
        <w:t xml:space="preserve"> بكلية إدارة الأعمال</w:t>
      </w:r>
      <w:r w:rsidRPr="00CE29DD">
        <w:rPr>
          <w:rtl/>
        </w:rPr>
        <w:t xml:space="preserve"> بزيارة ميداني</w:t>
      </w:r>
      <w:r w:rsidR="00351332">
        <w:rPr>
          <w:rFonts w:hint="cs"/>
          <w:rtl/>
        </w:rPr>
        <w:t>ة</w:t>
      </w:r>
      <w:r w:rsidRPr="00CE29DD">
        <w:rPr>
          <w:rtl/>
        </w:rPr>
        <w:t xml:space="preserve"> </w:t>
      </w:r>
      <w:r w:rsidR="00155AB1">
        <w:rPr>
          <w:rFonts w:hint="cs"/>
          <w:rtl/>
        </w:rPr>
        <w:t>إ</w:t>
      </w:r>
      <w:r w:rsidRPr="00CE29DD">
        <w:rPr>
          <w:rtl/>
        </w:rPr>
        <w:t>ل</w:t>
      </w:r>
      <w:r>
        <w:rPr>
          <w:rFonts w:hint="cs"/>
          <w:rtl/>
        </w:rPr>
        <w:t>ى</w:t>
      </w:r>
      <w:r w:rsidRPr="00CE29DD">
        <w:rPr>
          <w:rtl/>
        </w:rPr>
        <w:t xml:space="preserve"> </w:t>
      </w:r>
      <w:r>
        <w:rPr>
          <w:rFonts w:hint="cs"/>
          <w:rtl/>
        </w:rPr>
        <w:t xml:space="preserve">دائرة </w:t>
      </w:r>
      <w:r w:rsidRPr="00CE29DD">
        <w:rPr>
          <w:rtl/>
        </w:rPr>
        <w:t>هيئ</w:t>
      </w:r>
      <w:r w:rsidR="00351332">
        <w:rPr>
          <w:rFonts w:hint="cs"/>
          <w:rtl/>
        </w:rPr>
        <w:t>ة</w:t>
      </w:r>
      <w:r w:rsidRPr="00CE29DD">
        <w:rPr>
          <w:rtl/>
        </w:rPr>
        <w:t xml:space="preserve"> التحقيق </w:t>
      </w:r>
      <w:r w:rsidRPr="00CE29DD">
        <w:rPr>
          <w:rFonts w:hint="cs"/>
          <w:rtl/>
        </w:rPr>
        <w:t>وا</w:t>
      </w:r>
      <w:r>
        <w:rPr>
          <w:rFonts w:hint="cs"/>
          <w:rtl/>
        </w:rPr>
        <w:t>لا</w:t>
      </w:r>
      <w:r w:rsidRPr="00CE29DD">
        <w:rPr>
          <w:rFonts w:hint="cs"/>
          <w:rtl/>
        </w:rPr>
        <w:t>دعاء</w:t>
      </w:r>
      <w:r w:rsidRPr="00CE29DD">
        <w:rPr>
          <w:rtl/>
        </w:rPr>
        <w:t xml:space="preserve"> العام </w:t>
      </w:r>
      <w:r>
        <w:rPr>
          <w:rFonts w:hint="cs"/>
          <w:rtl/>
        </w:rPr>
        <w:t xml:space="preserve">بمحافظة المجمعة </w:t>
      </w:r>
      <w:r w:rsidRPr="00CE29DD">
        <w:rPr>
          <w:rtl/>
        </w:rPr>
        <w:t xml:space="preserve">وكان الهدف من تلك </w:t>
      </w:r>
      <w:r w:rsidRPr="00CE29DD">
        <w:rPr>
          <w:rFonts w:hint="cs"/>
          <w:rtl/>
        </w:rPr>
        <w:t>الزيارة</w:t>
      </w:r>
      <w:r w:rsidRPr="00CE29DD">
        <w:rPr>
          <w:rtl/>
        </w:rPr>
        <w:t xml:space="preserve"> تعريف </w:t>
      </w:r>
      <w:r w:rsidRPr="00CE29DD">
        <w:rPr>
          <w:rFonts w:hint="cs"/>
          <w:rtl/>
        </w:rPr>
        <w:t>الطلبة</w:t>
      </w:r>
      <w:r>
        <w:rPr>
          <w:rtl/>
        </w:rPr>
        <w:t xml:space="preserve"> الخريجين بأهم </w:t>
      </w:r>
      <w:r>
        <w:rPr>
          <w:rFonts w:hint="cs"/>
          <w:rtl/>
        </w:rPr>
        <w:t>الاختصاصات</w:t>
      </w:r>
      <w:r w:rsidRPr="00CE29DD">
        <w:rPr>
          <w:rtl/>
        </w:rPr>
        <w:t xml:space="preserve"> التي تقوم بها </w:t>
      </w:r>
      <w:r w:rsidRPr="00CE29DD">
        <w:rPr>
          <w:rFonts w:hint="cs"/>
          <w:rtl/>
        </w:rPr>
        <w:t>الهيئة</w:t>
      </w:r>
      <w:r w:rsidRPr="00CE29DD">
        <w:rPr>
          <w:rtl/>
        </w:rPr>
        <w:t xml:space="preserve"> ومنها وفقاً ل</w:t>
      </w:r>
      <w:r>
        <w:rPr>
          <w:rFonts w:hint="cs"/>
          <w:rtl/>
        </w:rPr>
        <w:t>ما نصت عليه ا</w:t>
      </w:r>
      <w:r w:rsidRPr="00CE29DD">
        <w:rPr>
          <w:rtl/>
        </w:rPr>
        <w:t xml:space="preserve">لمادة الثالثة من نظامها </w:t>
      </w:r>
      <w:r>
        <w:rPr>
          <w:rFonts w:hint="cs"/>
          <w:rtl/>
        </w:rPr>
        <w:t xml:space="preserve">وهي على النحو التالي </w:t>
      </w:r>
      <w:r w:rsidRPr="00CE29DD">
        <w:t>:</w:t>
      </w:r>
    </w:p>
    <w:p w:rsidR="00CE29DD" w:rsidRPr="00CE29DD" w:rsidRDefault="00CE29DD" w:rsidP="00351332">
      <w:pPr>
        <w:pStyle w:val="a3"/>
        <w:numPr>
          <w:ilvl w:val="0"/>
          <w:numId w:val="1"/>
        </w:numPr>
      </w:pPr>
      <w:r w:rsidRPr="00CE29DD">
        <w:rPr>
          <w:rtl/>
        </w:rPr>
        <w:t>التحقيق في الجرائم</w:t>
      </w:r>
      <w:r w:rsidRPr="00CE29DD">
        <w:t>.</w:t>
      </w:r>
    </w:p>
    <w:p w:rsidR="00CE29DD" w:rsidRPr="00CE29DD" w:rsidRDefault="00CE29DD" w:rsidP="00351332">
      <w:pPr>
        <w:pStyle w:val="a3"/>
        <w:numPr>
          <w:ilvl w:val="0"/>
          <w:numId w:val="1"/>
        </w:numPr>
      </w:pPr>
      <w:r w:rsidRPr="00CE29DD">
        <w:rPr>
          <w:rtl/>
        </w:rPr>
        <w:t>التصرف في التحقيق برفع الدعوى أو حفظها طبقاً لما تحدده اللوائح</w:t>
      </w:r>
      <w:r w:rsidRPr="00CE29DD">
        <w:t>.</w:t>
      </w:r>
    </w:p>
    <w:p w:rsidR="00CE29DD" w:rsidRPr="00CE29DD" w:rsidRDefault="00CE29DD" w:rsidP="00351332">
      <w:pPr>
        <w:pStyle w:val="a3"/>
        <w:numPr>
          <w:ilvl w:val="0"/>
          <w:numId w:val="1"/>
        </w:numPr>
      </w:pPr>
      <w:r w:rsidRPr="00CE29DD">
        <w:rPr>
          <w:rtl/>
        </w:rPr>
        <w:t>الادعاء أمام الجهات القضائية وفقاً للائحة التنظيمية</w:t>
      </w:r>
      <w:r w:rsidRPr="00CE29DD">
        <w:t>.</w:t>
      </w:r>
    </w:p>
    <w:p w:rsidR="00CE29DD" w:rsidRPr="00CE29DD" w:rsidRDefault="00CE29DD" w:rsidP="00351332">
      <w:pPr>
        <w:pStyle w:val="a3"/>
        <w:numPr>
          <w:ilvl w:val="0"/>
          <w:numId w:val="1"/>
        </w:numPr>
      </w:pPr>
      <w:r w:rsidRPr="00CE29DD">
        <w:rPr>
          <w:rtl/>
        </w:rPr>
        <w:t>طلب تمييز الأحكام</w:t>
      </w:r>
      <w:r w:rsidRPr="00CE29DD">
        <w:t>.</w:t>
      </w:r>
    </w:p>
    <w:p w:rsidR="00CE29DD" w:rsidRPr="00CE29DD" w:rsidRDefault="00CE29DD" w:rsidP="00351332">
      <w:pPr>
        <w:pStyle w:val="a3"/>
        <w:numPr>
          <w:ilvl w:val="0"/>
          <w:numId w:val="1"/>
        </w:numPr>
      </w:pPr>
      <w:r w:rsidRPr="00CE29DD">
        <w:rPr>
          <w:rtl/>
        </w:rPr>
        <w:t>الإشراف على تنفيذ الأحكام الجزائية</w:t>
      </w:r>
      <w:r w:rsidRPr="00CE29DD">
        <w:t>.</w:t>
      </w:r>
    </w:p>
    <w:p w:rsidR="00CE29DD" w:rsidRPr="00CE29DD" w:rsidRDefault="00CE29DD" w:rsidP="00351332">
      <w:pPr>
        <w:pStyle w:val="a3"/>
        <w:numPr>
          <w:ilvl w:val="0"/>
          <w:numId w:val="1"/>
        </w:numPr>
      </w:pPr>
      <w:r w:rsidRPr="00CE29DD">
        <w:rPr>
          <w:rtl/>
        </w:rPr>
        <w:t>الرقابة والتفتيش على السجون ودور التوقيف، وأي أماكن تنفذ فيها أحكام جزائية، والقيام بالاستماع إلى شكاوى المسجونين والموقوفين، والتحقق من مشروعية سجنهم أو توقيفهم، ومشروعية بقائهم في السجن أو دور التوقيف بعد انتهاء المدة، واتخاذ الإجراءات اللازمة لإطلاق سراح من سجن أو أوقف منهم بدون سبب مشروع، وتطبيق ما تقضي به الأنظمة في حق المتسببين في ذلك، وإحاطة سمو وزير الداخلية بما يبدو من ملاحظات في هذا الشأن، ورفع تقرير لسموه كل ستة أشهر عن حالة السجناء والموقوفين</w:t>
      </w:r>
      <w:r w:rsidRPr="00CE29DD">
        <w:t>.</w:t>
      </w:r>
    </w:p>
    <w:p w:rsidR="00CE29DD" w:rsidRDefault="00CE29DD" w:rsidP="00351332">
      <w:pPr>
        <w:pStyle w:val="a3"/>
        <w:numPr>
          <w:ilvl w:val="0"/>
          <w:numId w:val="1"/>
        </w:numPr>
        <w:rPr>
          <w:rtl/>
        </w:rPr>
      </w:pPr>
      <w:r w:rsidRPr="00CE29DD">
        <w:rPr>
          <w:rtl/>
        </w:rPr>
        <w:t>أي اختصاصات أخرى تسند إليها بموجب الأنظمة أو اللوائح الصادرة طبقاً لنظام الهيئة أو قرارات مجلس الوزراء أو الأوامر السامية. ومن ذلك ما جاء في المرسوم الملكي الكريم رقم (م/4) وتاريخ 5/1/1433هـ القاضي بنقل اختصاص هيئة الرقابة والتحقيق المتعلق بالتحقيق والادعاء العام في الجرائم الجنائية التي تباشرها هيئة الرقابة والتحقيق كالرشوة والتزوير والجرائم المنصوص عليها في المرسوم الملكي الكريم رقم (م/43) وتاريخ 29/11/1377هـ إلى هيئة التحقيق والادعاء العام</w:t>
      </w:r>
      <w:r w:rsidRPr="00CE29DD">
        <w:t>.</w:t>
      </w:r>
    </w:p>
    <w:p w:rsidR="00CE29DD" w:rsidRDefault="00CE29DD" w:rsidP="00351332">
      <w:pPr>
        <w:pStyle w:val="a3"/>
        <w:rPr>
          <w:rtl/>
        </w:rPr>
      </w:pPr>
      <w:r>
        <w:rPr>
          <w:rFonts w:hint="cs"/>
          <w:rtl/>
        </w:rPr>
        <w:t xml:space="preserve">وقد استمع الطلاب إلى شرح مفصل عن تلك الاختصاصات وما يجري عليه العمل في الدائرة من سعادة رئيس دائرة </w:t>
      </w:r>
      <w:r w:rsidR="00155AB1" w:rsidRPr="00CE29DD">
        <w:rPr>
          <w:rtl/>
        </w:rPr>
        <w:t>هيئه التحقيق والادعاء العام</w:t>
      </w:r>
      <w:r w:rsidR="00155AB1">
        <w:rPr>
          <w:rFonts w:hint="cs"/>
          <w:rtl/>
        </w:rPr>
        <w:t xml:space="preserve"> </w:t>
      </w:r>
      <w:r>
        <w:rPr>
          <w:rFonts w:hint="cs"/>
          <w:rtl/>
        </w:rPr>
        <w:t>بمحافظة المجمعة .</w:t>
      </w:r>
    </w:p>
    <w:p w:rsidR="00CE29DD" w:rsidRDefault="00CE29DD" w:rsidP="00351332">
      <w:pPr>
        <w:pStyle w:val="a3"/>
        <w:rPr>
          <w:rtl/>
        </w:rPr>
      </w:pPr>
      <w:r>
        <w:rPr>
          <w:rFonts w:hint="cs"/>
          <w:rtl/>
        </w:rPr>
        <w:t>يشار إلى أن الزيار</w:t>
      </w:r>
      <w:r w:rsidR="00155AB1">
        <w:rPr>
          <w:rFonts w:hint="cs"/>
          <w:rtl/>
        </w:rPr>
        <w:t>ة</w:t>
      </w:r>
      <w:r>
        <w:rPr>
          <w:rFonts w:hint="cs"/>
          <w:rtl/>
        </w:rPr>
        <w:t xml:space="preserve"> تأني في إطار مقرر التدريب الميداني والذي يشمل التعريف بالجهات العدلية واختصاصاتها وطبيعة عملها والتي </w:t>
      </w:r>
      <w:r w:rsidR="00155AB1">
        <w:rPr>
          <w:rFonts w:hint="cs"/>
          <w:rtl/>
        </w:rPr>
        <w:t>تعد إحدى مجالات تطبيقات القانون .</w:t>
      </w:r>
    </w:p>
    <w:p w:rsidR="00CE29DD" w:rsidRDefault="00CE29DD" w:rsidP="00351332">
      <w:pPr>
        <w:pStyle w:val="a3"/>
        <w:rPr>
          <w:rtl/>
        </w:rPr>
      </w:pPr>
      <w:r w:rsidRPr="00CE29DD">
        <w:t> </w:t>
      </w:r>
      <w:r w:rsidRPr="00CE29DD">
        <w:rPr>
          <w:rtl/>
        </w:rPr>
        <w:t xml:space="preserve">وفي </w:t>
      </w:r>
      <w:r w:rsidR="00155AB1">
        <w:rPr>
          <w:rFonts w:hint="cs"/>
          <w:rtl/>
        </w:rPr>
        <w:t>آ</w:t>
      </w:r>
      <w:r w:rsidRPr="00CE29DD">
        <w:rPr>
          <w:rtl/>
        </w:rPr>
        <w:t xml:space="preserve">خر </w:t>
      </w:r>
      <w:r w:rsidR="00155AB1" w:rsidRPr="00CE29DD">
        <w:rPr>
          <w:rFonts w:hint="cs"/>
          <w:rtl/>
        </w:rPr>
        <w:t>الزيارة</w:t>
      </w:r>
      <w:r w:rsidR="00155AB1">
        <w:rPr>
          <w:rtl/>
        </w:rPr>
        <w:t xml:space="preserve"> ق</w:t>
      </w:r>
      <w:r w:rsidR="00155AB1">
        <w:rPr>
          <w:rFonts w:hint="cs"/>
          <w:rtl/>
        </w:rPr>
        <w:t>د</w:t>
      </w:r>
      <w:r w:rsidRPr="00CE29DD">
        <w:rPr>
          <w:rtl/>
        </w:rPr>
        <w:t xml:space="preserve">م قسم القانون درع تذكاري قدمه سعادة الدكتور </w:t>
      </w:r>
      <w:r w:rsidR="000F495F">
        <w:rPr>
          <w:rFonts w:hint="cs"/>
          <w:rtl/>
        </w:rPr>
        <w:t>أ</w:t>
      </w:r>
      <w:r w:rsidRPr="00CE29DD">
        <w:rPr>
          <w:rtl/>
        </w:rPr>
        <w:t>حمد بن محمد الشمري</w:t>
      </w:r>
      <w:r w:rsidR="00F412C0">
        <w:rPr>
          <w:rFonts w:hint="cs"/>
          <w:rtl/>
        </w:rPr>
        <w:t xml:space="preserve"> ، استاذ القانون المساعد بالقسم</w:t>
      </w:r>
      <w:r w:rsidRPr="00CE29DD">
        <w:rPr>
          <w:rtl/>
        </w:rPr>
        <w:t xml:space="preserve"> </w:t>
      </w:r>
      <w:r w:rsidR="000F495F">
        <w:rPr>
          <w:rFonts w:hint="cs"/>
          <w:rtl/>
        </w:rPr>
        <w:t>إ</w:t>
      </w:r>
      <w:r w:rsidRPr="00CE29DD">
        <w:rPr>
          <w:rtl/>
        </w:rPr>
        <w:t>ل</w:t>
      </w:r>
      <w:r w:rsidR="000F495F">
        <w:rPr>
          <w:rFonts w:hint="cs"/>
          <w:rtl/>
        </w:rPr>
        <w:t>ى</w:t>
      </w:r>
      <w:r w:rsidRPr="00CE29DD">
        <w:rPr>
          <w:rtl/>
        </w:rPr>
        <w:t xml:space="preserve"> رئيس فرع </w:t>
      </w:r>
      <w:r w:rsidR="000F495F" w:rsidRPr="00CE29DD">
        <w:rPr>
          <w:rtl/>
        </w:rPr>
        <w:t>هيئه التحقيق والادعاء العام</w:t>
      </w:r>
      <w:r w:rsidRPr="00CE29DD">
        <w:rPr>
          <w:rtl/>
        </w:rPr>
        <w:t xml:space="preserve"> بمحافظه </w:t>
      </w:r>
      <w:r w:rsidR="00155AB1" w:rsidRPr="00CE29DD">
        <w:rPr>
          <w:rFonts w:hint="cs"/>
          <w:rtl/>
        </w:rPr>
        <w:t>المجمعة</w:t>
      </w:r>
      <w:r w:rsidR="00155AB1">
        <w:rPr>
          <w:rFonts w:hint="cs"/>
          <w:rtl/>
        </w:rPr>
        <w:t xml:space="preserve"> .</w:t>
      </w:r>
    </w:p>
    <w:p w:rsidR="00155AB1" w:rsidRPr="00CE29DD" w:rsidRDefault="00155AB1" w:rsidP="00351332">
      <w:pPr>
        <w:pStyle w:val="a3"/>
      </w:pPr>
      <w:r>
        <w:rPr>
          <w:rFonts w:hint="cs"/>
          <w:rtl/>
        </w:rPr>
        <w:t xml:space="preserve">هذا وقد قدم سعادة عميد الكلية الدكتور : سعد بن محمد </w:t>
      </w:r>
      <w:proofErr w:type="spellStart"/>
      <w:r>
        <w:rPr>
          <w:rFonts w:hint="cs"/>
          <w:rtl/>
        </w:rPr>
        <w:t>الفليح</w:t>
      </w:r>
      <w:proofErr w:type="spellEnd"/>
      <w:r>
        <w:rPr>
          <w:rFonts w:hint="cs"/>
          <w:rtl/>
        </w:rPr>
        <w:t xml:space="preserve"> شكره وتقديره لقسم القانون على تحقيق مصلحة الطلاب والعناية بالجوانب العملية التي تكمل الجوانب النظرية لدى الطالب . </w:t>
      </w:r>
      <w:bookmarkEnd w:id="0"/>
    </w:p>
    <w:sectPr w:rsidR="00155AB1" w:rsidRPr="00CE29DD" w:rsidSect="004A08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63A07"/>
    <w:multiLevelType w:val="hybridMultilevel"/>
    <w:tmpl w:val="B664B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DD"/>
    <w:rsid w:val="000F495F"/>
    <w:rsid w:val="00155AB1"/>
    <w:rsid w:val="00351332"/>
    <w:rsid w:val="00371639"/>
    <w:rsid w:val="00371F05"/>
    <w:rsid w:val="004A0836"/>
    <w:rsid w:val="00CE29DD"/>
    <w:rsid w:val="00F412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332"/>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133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662974">
      <w:bodyDiv w:val="1"/>
      <w:marLeft w:val="0"/>
      <w:marRight w:val="0"/>
      <w:marTop w:val="0"/>
      <w:marBottom w:val="0"/>
      <w:divBdr>
        <w:top w:val="none" w:sz="0" w:space="0" w:color="auto"/>
        <w:left w:val="none" w:sz="0" w:space="0" w:color="auto"/>
        <w:bottom w:val="none" w:sz="0" w:space="0" w:color="auto"/>
        <w:right w:val="none" w:sz="0" w:space="0" w:color="auto"/>
      </w:divBdr>
      <w:divsChild>
        <w:div w:id="1881046990">
          <w:marLeft w:val="0"/>
          <w:marRight w:val="0"/>
          <w:marTop w:val="0"/>
          <w:marBottom w:val="0"/>
          <w:divBdr>
            <w:top w:val="none" w:sz="0" w:space="0" w:color="auto"/>
            <w:left w:val="none" w:sz="0" w:space="0" w:color="auto"/>
            <w:bottom w:val="none" w:sz="0" w:space="0" w:color="auto"/>
            <w:right w:val="none" w:sz="0" w:space="0" w:color="auto"/>
          </w:divBdr>
        </w:div>
        <w:div w:id="1048341741">
          <w:marLeft w:val="0"/>
          <w:marRight w:val="0"/>
          <w:marTop w:val="0"/>
          <w:marBottom w:val="0"/>
          <w:divBdr>
            <w:top w:val="none" w:sz="0" w:space="0" w:color="auto"/>
            <w:left w:val="none" w:sz="0" w:space="0" w:color="auto"/>
            <w:bottom w:val="none" w:sz="0" w:space="0" w:color="auto"/>
            <w:right w:val="none" w:sz="0" w:space="0" w:color="auto"/>
          </w:divBdr>
        </w:div>
        <w:div w:id="1761289097">
          <w:marLeft w:val="0"/>
          <w:marRight w:val="0"/>
          <w:marTop w:val="0"/>
          <w:marBottom w:val="0"/>
          <w:divBdr>
            <w:top w:val="none" w:sz="0" w:space="0" w:color="auto"/>
            <w:left w:val="none" w:sz="0" w:space="0" w:color="auto"/>
            <w:bottom w:val="none" w:sz="0" w:space="0" w:color="auto"/>
            <w:right w:val="none" w:sz="0" w:space="0" w:color="auto"/>
          </w:divBdr>
        </w:div>
        <w:div w:id="1443038290">
          <w:marLeft w:val="0"/>
          <w:marRight w:val="0"/>
          <w:marTop w:val="0"/>
          <w:marBottom w:val="0"/>
          <w:divBdr>
            <w:top w:val="none" w:sz="0" w:space="0" w:color="auto"/>
            <w:left w:val="none" w:sz="0" w:space="0" w:color="auto"/>
            <w:bottom w:val="none" w:sz="0" w:space="0" w:color="auto"/>
            <w:right w:val="none" w:sz="0" w:space="0" w:color="auto"/>
          </w:divBdr>
        </w:div>
        <w:div w:id="882793356">
          <w:marLeft w:val="0"/>
          <w:marRight w:val="0"/>
          <w:marTop w:val="0"/>
          <w:marBottom w:val="0"/>
          <w:divBdr>
            <w:top w:val="none" w:sz="0" w:space="0" w:color="auto"/>
            <w:left w:val="none" w:sz="0" w:space="0" w:color="auto"/>
            <w:bottom w:val="none" w:sz="0" w:space="0" w:color="auto"/>
            <w:right w:val="none" w:sz="0" w:space="0" w:color="auto"/>
          </w:divBdr>
        </w:div>
        <w:div w:id="956066737">
          <w:marLeft w:val="0"/>
          <w:marRight w:val="0"/>
          <w:marTop w:val="0"/>
          <w:marBottom w:val="0"/>
          <w:divBdr>
            <w:top w:val="none" w:sz="0" w:space="0" w:color="auto"/>
            <w:left w:val="none" w:sz="0" w:space="0" w:color="auto"/>
            <w:bottom w:val="none" w:sz="0" w:space="0" w:color="auto"/>
            <w:right w:val="none" w:sz="0" w:space="0" w:color="auto"/>
          </w:divBdr>
        </w:div>
        <w:div w:id="2127043357">
          <w:marLeft w:val="0"/>
          <w:marRight w:val="0"/>
          <w:marTop w:val="0"/>
          <w:marBottom w:val="0"/>
          <w:divBdr>
            <w:top w:val="none" w:sz="0" w:space="0" w:color="auto"/>
            <w:left w:val="none" w:sz="0" w:space="0" w:color="auto"/>
            <w:bottom w:val="none" w:sz="0" w:space="0" w:color="auto"/>
            <w:right w:val="none" w:sz="0" w:space="0" w:color="auto"/>
          </w:divBdr>
        </w:div>
        <w:div w:id="1049692889">
          <w:marLeft w:val="0"/>
          <w:marRight w:val="0"/>
          <w:marTop w:val="0"/>
          <w:marBottom w:val="0"/>
          <w:divBdr>
            <w:top w:val="none" w:sz="0" w:space="0" w:color="auto"/>
            <w:left w:val="none" w:sz="0" w:space="0" w:color="auto"/>
            <w:bottom w:val="none" w:sz="0" w:space="0" w:color="auto"/>
            <w:right w:val="none" w:sz="0" w:space="0" w:color="auto"/>
          </w:divBdr>
        </w:div>
        <w:div w:id="810564551">
          <w:marLeft w:val="0"/>
          <w:marRight w:val="0"/>
          <w:marTop w:val="0"/>
          <w:marBottom w:val="0"/>
          <w:divBdr>
            <w:top w:val="none" w:sz="0" w:space="0" w:color="auto"/>
            <w:left w:val="none" w:sz="0" w:space="0" w:color="auto"/>
            <w:bottom w:val="none" w:sz="0" w:space="0" w:color="auto"/>
            <w:right w:val="none" w:sz="0" w:space="0" w:color="auto"/>
          </w:divBdr>
        </w:div>
        <w:div w:id="1269578829">
          <w:marLeft w:val="0"/>
          <w:marRight w:val="0"/>
          <w:marTop w:val="0"/>
          <w:marBottom w:val="0"/>
          <w:divBdr>
            <w:top w:val="none" w:sz="0" w:space="0" w:color="auto"/>
            <w:left w:val="none" w:sz="0" w:space="0" w:color="auto"/>
            <w:bottom w:val="none" w:sz="0" w:space="0" w:color="auto"/>
            <w:right w:val="none" w:sz="0" w:space="0" w:color="auto"/>
          </w:divBdr>
        </w:div>
        <w:div w:id="13655975">
          <w:marLeft w:val="0"/>
          <w:marRight w:val="0"/>
          <w:marTop w:val="0"/>
          <w:marBottom w:val="0"/>
          <w:divBdr>
            <w:top w:val="none" w:sz="0" w:space="0" w:color="auto"/>
            <w:left w:val="none" w:sz="0" w:space="0" w:color="auto"/>
            <w:bottom w:val="none" w:sz="0" w:space="0" w:color="auto"/>
            <w:right w:val="none" w:sz="0" w:space="0" w:color="auto"/>
          </w:divBdr>
        </w:div>
        <w:div w:id="785461877">
          <w:marLeft w:val="0"/>
          <w:marRight w:val="0"/>
          <w:marTop w:val="0"/>
          <w:marBottom w:val="0"/>
          <w:divBdr>
            <w:top w:val="none" w:sz="0" w:space="0" w:color="auto"/>
            <w:left w:val="none" w:sz="0" w:space="0" w:color="auto"/>
            <w:bottom w:val="none" w:sz="0" w:space="0" w:color="auto"/>
            <w:right w:val="none" w:sz="0" w:space="0" w:color="auto"/>
          </w:divBdr>
        </w:div>
        <w:div w:id="1470517606">
          <w:marLeft w:val="0"/>
          <w:marRight w:val="0"/>
          <w:marTop w:val="0"/>
          <w:marBottom w:val="0"/>
          <w:divBdr>
            <w:top w:val="none" w:sz="0" w:space="0" w:color="auto"/>
            <w:left w:val="none" w:sz="0" w:space="0" w:color="auto"/>
            <w:bottom w:val="none" w:sz="0" w:space="0" w:color="auto"/>
            <w:right w:val="none" w:sz="0" w:space="0" w:color="auto"/>
          </w:divBdr>
        </w:div>
        <w:div w:id="1431198852">
          <w:marLeft w:val="0"/>
          <w:marRight w:val="0"/>
          <w:marTop w:val="0"/>
          <w:marBottom w:val="0"/>
          <w:divBdr>
            <w:top w:val="none" w:sz="0" w:space="0" w:color="auto"/>
            <w:left w:val="none" w:sz="0" w:space="0" w:color="auto"/>
            <w:bottom w:val="none" w:sz="0" w:space="0" w:color="auto"/>
            <w:right w:val="none" w:sz="0" w:space="0" w:color="auto"/>
          </w:divBdr>
        </w:div>
        <w:div w:id="1246645620">
          <w:marLeft w:val="0"/>
          <w:marRight w:val="0"/>
          <w:marTop w:val="0"/>
          <w:marBottom w:val="0"/>
          <w:divBdr>
            <w:top w:val="none" w:sz="0" w:space="0" w:color="auto"/>
            <w:left w:val="none" w:sz="0" w:space="0" w:color="auto"/>
            <w:bottom w:val="none" w:sz="0" w:space="0" w:color="auto"/>
            <w:right w:val="none" w:sz="0" w:space="0" w:color="auto"/>
          </w:divBdr>
        </w:div>
        <w:div w:id="2090689269">
          <w:marLeft w:val="0"/>
          <w:marRight w:val="0"/>
          <w:marTop w:val="0"/>
          <w:marBottom w:val="0"/>
          <w:divBdr>
            <w:top w:val="none" w:sz="0" w:space="0" w:color="auto"/>
            <w:left w:val="none" w:sz="0" w:space="0" w:color="auto"/>
            <w:bottom w:val="none" w:sz="0" w:space="0" w:color="auto"/>
            <w:right w:val="none" w:sz="0" w:space="0" w:color="auto"/>
          </w:divBdr>
        </w:div>
        <w:div w:id="185966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310</Words>
  <Characters>1770</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HAMADA_ADEL82@YAHOO.COM</cp:lastModifiedBy>
  <cp:revision>5</cp:revision>
  <dcterms:created xsi:type="dcterms:W3CDTF">2015-12-04T11:37:00Z</dcterms:created>
  <dcterms:modified xsi:type="dcterms:W3CDTF">2015-12-06T06:11:00Z</dcterms:modified>
</cp:coreProperties>
</file>