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557862">
      <w:pPr>
        <w:pStyle w:val="ar"/>
        <w:shd w:val="clear" w:color="auto" w:fill="FFFFFF"/>
        <w:bidi/>
        <w:spacing w:before="0" w:beforeAutospacing="0" w:after="0" w:afterAutospacing="0" w:line="360" w:lineRule="auto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557862" w:rsidRDefault="00F92B0C" w:rsidP="00557862">
      <w:pPr>
        <w:spacing w:after="0" w:line="480" w:lineRule="auto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الخطة الوطنية</w:t>
      </w:r>
    </w:p>
    <w:p w:rsidR="00B679F0" w:rsidRPr="00B679F0" w:rsidRDefault="00B679F0" w:rsidP="00B679F0">
      <w:pPr>
        <w:spacing w:after="0" w:line="480" w:lineRule="auto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الآليات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</w:rPr>
      </w:pPr>
      <w:bookmarkStart w:id="0" w:name="_GoBack"/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 xml:space="preserve">1.  ورش عمل دورية بالجامعة للتعريف بالخطة الوطنية للعلوم والتقنية </w:t>
      </w:r>
      <w:proofErr w:type="spellStart"/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والابتكارت</w:t>
      </w:r>
      <w:proofErr w:type="spellEnd"/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1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2.  التواصل المستمر مع الباحثين من خلال رسالة الجامعة وموقع البرنامج والبريد الإلكتروني والرسائل القصيرة</w:t>
      </w:r>
      <w:r w:rsidRPr="00B679F0">
        <w:rPr>
          <w:rStyle w:val="apple-converted-space"/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 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((SMS.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3.  لجنة علمية لتقييم المقترحات البحثية، وضمان جودتها ومطابقتها لأولويات مختلف البرامج البحثية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4.  لجنة مالية لمتابعة صرف المستحقات المالية وفقاً للميزانية المعتمدة لكل مشروع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5.  ندوة سنوية متعددة التخصصات لعرض أهم نتائج المشروعات البحثية المدعمة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6.  بوابة إلكترونية تشمل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: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·       نظامًا إلكترونيًا لاستقبال الأبحاث ومتابعتها وتحكيمها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·       نظامًا إلكترونيًا للتأكد من أصالة الأبحاث والتقارير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ind w:left="84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·       موقعًا إلكترونيًا لعرض التقارير الفنية والأوراق العلمية المنشورة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   نشرة علمية دورية تضم ملخصات لأوراق علمية، نشرت ضمن الأبحاث المدعمة من برنامج الخطة الوطنية للعلوم والتقنية والابتكار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   تمويل تسجيل براءات الاختراع</w:t>
      </w:r>
      <w:r w:rsidRPr="00B679F0">
        <w:rPr>
          <w:rStyle w:val="apple-converted-space"/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 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   حوافز مالية للنشر في مجلات علمية مصنفة عالميّاً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-ISI-.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   التزام الباحثين بإشراك طلاب الدراسات العليا في إنجاز المشروعات</w:t>
      </w:r>
      <w:r w:rsidRPr="00B679F0">
        <w:rPr>
          <w:rStyle w:val="apple-converted-space"/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 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p w:rsidR="00B679F0" w:rsidRPr="00B679F0" w:rsidRDefault="00B679F0" w:rsidP="00B679F0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2"/>
          <w:szCs w:val="22"/>
          <w:rtl/>
        </w:rPr>
      </w:pP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  <w:rtl/>
        </w:rPr>
        <w:t>   التزام الباحثين بالتنازل عن الأجهزة التي استخدموها في تنفيذ مشروعاتهم المنتهية لمصلحة معامل الجامعة</w:t>
      </w:r>
      <w:r w:rsidRPr="00B679F0">
        <w:rPr>
          <w:rFonts w:ascii="Arial" w:hAnsi="Arial" w:cs="Arial"/>
          <w:b/>
          <w:bCs/>
          <w:color w:val="314318"/>
          <w:sz w:val="22"/>
          <w:szCs w:val="22"/>
          <w:bdr w:val="none" w:sz="0" w:space="0" w:color="auto" w:frame="1"/>
        </w:rPr>
        <w:t>.</w:t>
      </w:r>
    </w:p>
    <w:bookmarkEnd w:id="0"/>
    <w:p w:rsidR="0018551C" w:rsidRPr="0018551C" w:rsidRDefault="0018551C" w:rsidP="0018551C">
      <w:pPr>
        <w:spacing w:after="0" w:line="480" w:lineRule="atLeast"/>
        <w:ind w:left="-360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p w:rsidR="00B03C74" w:rsidRPr="00B03C74" w:rsidRDefault="00B03C74" w:rsidP="00557862">
      <w:pPr>
        <w:spacing w:after="0" w:line="48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03C74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28"/>
  </w:num>
  <w:num w:numId="6">
    <w:abstractNumId w:val="12"/>
  </w:num>
  <w:num w:numId="7">
    <w:abstractNumId w:val="8"/>
  </w:num>
  <w:num w:numId="8">
    <w:abstractNumId w:val="2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21"/>
  </w:num>
  <w:num w:numId="14">
    <w:abstractNumId w:val="2"/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6"/>
  </w:num>
  <w:num w:numId="20">
    <w:abstractNumId w:val="17"/>
  </w:num>
  <w:num w:numId="21">
    <w:abstractNumId w:val="22"/>
  </w:num>
  <w:num w:numId="22">
    <w:abstractNumId w:val="26"/>
  </w:num>
  <w:num w:numId="23">
    <w:abstractNumId w:val="14"/>
  </w:num>
  <w:num w:numId="24">
    <w:abstractNumId w:val="24"/>
  </w:num>
  <w:num w:numId="25">
    <w:abstractNumId w:val="18"/>
  </w:num>
  <w:num w:numId="26">
    <w:abstractNumId w:val="23"/>
  </w:num>
  <w:num w:numId="27">
    <w:abstractNumId w:val="1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2015-04-15T17:05:00Z</cp:lastPrinted>
  <dcterms:created xsi:type="dcterms:W3CDTF">2015-04-15T17:06:00Z</dcterms:created>
  <dcterms:modified xsi:type="dcterms:W3CDTF">2015-04-15T17:06:00Z</dcterms:modified>
</cp:coreProperties>
</file>