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394A73" w:rsidP="00394A73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0D73FA" w:rsidRDefault="000D73FA" w:rsidP="007C2DEE">
      <w:pPr>
        <w:pStyle w:val="ar"/>
        <w:bidi/>
        <w:spacing w:before="0" w:beforeAutospacing="0" w:after="0" w:afterAutospacing="0" w:line="480" w:lineRule="auto"/>
        <w:jc w:val="both"/>
        <w:textAlignment w:val="top"/>
        <w:rPr>
          <w:rStyle w:val="a5"/>
          <w:rFonts w:ascii="Arial" w:hAnsi="Arial" w:cs="Arial" w:hint="cs"/>
          <w:color w:val="008000"/>
          <w:sz w:val="21"/>
          <w:szCs w:val="21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الأهداف</w:t>
      </w:r>
    </w:p>
    <w:p w:rsidR="000D73FA" w:rsidRDefault="000D73FA" w:rsidP="000D73FA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both"/>
        <w:textAlignment w:val="top"/>
        <w:rPr>
          <w:color w:val="314318"/>
        </w:rPr>
      </w:pPr>
      <w:bookmarkStart w:id="0" w:name="_GoBack"/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1.  تعريف بالخطة الوطنية الشاملة للعلوم والتقنية بعيدة المدى داخل الجامعة</w:t>
      </w: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</w:rPr>
        <w:t>.</w:t>
      </w:r>
    </w:p>
    <w:p w:rsidR="000D73FA" w:rsidRDefault="000D73FA" w:rsidP="000D73FA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2.  رفع مستوى مساهمة الجامعة ومنسوبيها في الخطة الوطنية الشاملة للعلوم والتقنية كماً ونوعا</w:t>
      </w:r>
    </w:p>
    <w:p w:rsidR="000D73FA" w:rsidRDefault="000D73FA" w:rsidP="000D73FA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3.  تقديم المشورة العلمية للباحثين لضمان جودة مقترحاتهم البحثية ، وتطابق أهدافها مع أهداف الخطة الوطنية للعلوم والتقنية.</w:t>
      </w:r>
    </w:p>
    <w:p w:rsidR="000D73FA" w:rsidRDefault="000D73FA" w:rsidP="000D73FA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4.  الإشراف الاداري والفني على مشاريع الخطة الوطنية للعلوم والتقنية في الجامعة.</w:t>
      </w:r>
    </w:p>
    <w:p w:rsidR="000D73FA" w:rsidRDefault="000D73FA" w:rsidP="000D73FA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both"/>
        <w:textAlignment w:val="top"/>
        <w:rPr>
          <w:color w:val="314318"/>
          <w:rtl/>
        </w:rPr>
      </w:pPr>
      <w:r>
        <w:rPr>
          <w:rFonts w:ascii="Arial" w:hAnsi="Arial" w:cs="Arial"/>
          <w:b/>
          <w:bCs/>
          <w:color w:val="314318"/>
          <w:sz w:val="21"/>
          <w:szCs w:val="21"/>
          <w:bdr w:val="none" w:sz="0" w:space="0" w:color="auto" w:frame="1"/>
          <w:rtl/>
        </w:rPr>
        <w:t>5.  العمل كنقطة اتصال مع الأمانة العامة للخطة الوطنية الشاملة للعلوم والتقنية.</w:t>
      </w:r>
    </w:p>
    <w:p w:rsidR="00885F40" w:rsidRPr="00465537" w:rsidRDefault="000D73FA" w:rsidP="000D73FA">
      <w:pPr>
        <w:tabs>
          <w:tab w:val="left" w:pos="2512"/>
        </w:tabs>
        <w:spacing w:after="0" w:line="480" w:lineRule="auto"/>
        <w:ind w:left="-360" w:firstLine="501"/>
        <w:jc w:val="both"/>
        <w:textAlignment w:val="top"/>
        <w:rPr>
          <w:rFonts w:hint="cs"/>
          <w:color w:val="314318"/>
        </w:rPr>
      </w:pPr>
      <w:r>
        <w:rPr>
          <w:color w:val="314318"/>
          <w:rtl/>
        </w:rPr>
        <w:tab/>
      </w:r>
      <w:bookmarkEnd w:id="0"/>
    </w:p>
    <w:sectPr w:rsidR="00885F40" w:rsidRPr="00465537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75744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2015-04-15T16:43:00Z</cp:lastPrinted>
  <dcterms:created xsi:type="dcterms:W3CDTF">2015-04-15T16:44:00Z</dcterms:created>
  <dcterms:modified xsi:type="dcterms:W3CDTF">2015-04-15T16:44:00Z</dcterms:modified>
</cp:coreProperties>
</file>