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F" w:rsidRPr="00342694" w:rsidRDefault="00872C3F" w:rsidP="00872C3F">
      <w:pPr>
        <w:pStyle w:val="a4"/>
        <w:autoSpaceDE w:val="0"/>
        <w:autoSpaceDN w:val="0"/>
        <w:adjustRightInd w:val="0"/>
        <w:spacing w:before="240" w:after="0" w:line="240" w:lineRule="auto"/>
        <w:ind w:left="1560"/>
        <w:jc w:val="both"/>
        <w:rPr>
          <w:rFonts w:ascii="AdobeArabic-Regular" w:cs="GE SS Text Light"/>
          <w:color w:val="000000"/>
          <w:sz w:val="24"/>
          <w:szCs w:val="24"/>
          <w:rtl/>
        </w:rPr>
      </w:pPr>
    </w:p>
    <w:p w:rsidR="00872C3F" w:rsidRPr="00342694" w:rsidRDefault="00872C3F" w:rsidP="00872C3F">
      <w:pPr>
        <w:pStyle w:val="a4"/>
        <w:autoSpaceDE w:val="0"/>
        <w:autoSpaceDN w:val="0"/>
        <w:adjustRightInd w:val="0"/>
        <w:spacing w:after="0" w:line="240" w:lineRule="auto"/>
        <w:ind w:left="1560"/>
        <w:rPr>
          <w:rFonts w:ascii="AdobeArabic-Regular" w:cs="GE SS Text Light"/>
          <w:color w:val="000000"/>
          <w:sz w:val="24"/>
          <w:szCs w:val="24"/>
          <w:rtl/>
        </w:rPr>
      </w:pPr>
      <w:r>
        <w:rPr>
          <w:rFonts w:ascii="AdobeArabic-Regular" w:cs="GE SS Text Light"/>
          <w:color w:val="000000"/>
          <w:sz w:val="24"/>
          <w:szCs w:val="24"/>
          <w:rtl/>
        </w:rPr>
        <w:t>جدول(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>1</w:t>
      </w:r>
      <w:r w:rsidRPr="00342694">
        <w:rPr>
          <w:rFonts w:ascii="AdobeArabic-Regular" w:cs="GE SS Text Light"/>
          <w:color w:val="000000"/>
          <w:sz w:val="24"/>
          <w:szCs w:val="24"/>
          <w:rtl/>
        </w:rPr>
        <w:t>)</w:t>
      </w:r>
      <w:r w:rsidRPr="00342694">
        <w:rPr>
          <w:rFonts w:ascii="AdobeArabic-Regular" w:cs="GE SS Text Light" w:hint="cs"/>
          <w:color w:val="000000"/>
          <w:sz w:val="24"/>
          <w:szCs w:val="24"/>
          <w:rtl/>
        </w:rPr>
        <w:t>:</w:t>
      </w:r>
      <w:r w:rsidRPr="00342694">
        <w:rPr>
          <w:rFonts w:ascii="AdobeArabic-Regular" w:cs="GE SS Text Light"/>
          <w:color w:val="000000"/>
          <w:sz w:val="24"/>
          <w:szCs w:val="24"/>
          <w:rtl/>
        </w:rPr>
        <w:t xml:space="preserve"> </w:t>
      </w:r>
      <w:bookmarkStart w:id="0" w:name="_GoBack"/>
      <w:r w:rsidRPr="00342694">
        <w:rPr>
          <w:rFonts w:ascii="AdobeArabic-Regular" w:cs="GE SS Text Light"/>
          <w:color w:val="000000"/>
          <w:sz w:val="24"/>
          <w:szCs w:val="24"/>
          <w:rtl/>
        </w:rPr>
        <w:t xml:space="preserve">تطور الهرم الأكاديمي لأعضاء هيئة التدريس </w:t>
      </w:r>
      <w:r w:rsidRPr="00342694">
        <w:rPr>
          <w:rFonts w:ascii="AdobeArabic-Regular" w:cs="GE SS Text Light" w:hint="cs"/>
          <w:color w:val="000000"/>
          <w:sz w:val="24"/>
          <w:szCs w:val="24"/>
          <w:rtl/>
        </w:rPr>
        <w:t xml:space="preserve">السعوديين وغير السعوديين بكلية التربية بالزلفي </w:t>
      </w:r>
      <w:r w:rsidRPr="00342694">
        <w:rPr>
          <w:rFonts w:ascii="AdobeArabic-Regular" w:cs="GE SS Text Light"/>
          <w:color w:val="000000"/>
          <w:sz w:val="24"/>
          <w:szCs w:val="24"/>
          <w:rtl/>
        </w:rPr>
        <w:t>خلال الأعوام ال</w:t>
      </w:r>
      <w:r w:rsidRPr="00342694">
        <w:rPr>
          <w:rFonts w:ascii="AdobeArabic-Regular" w:cs="GE SS Text Light" w:hint="cs"/>
          <w:color w:val="000000"/>
          <w:sz w:val="24"/>
          <w:szCs w:val="24"/>
          <w:rtl/>
        </w:rPr>
        <w:t>أربعة الأخيرة 1431-1435 هـ</w:t>
      </w:r>
    </w:p>
    <w:tbl>
      <w:tblPr>
        <w:tblStyle w:val="a3"/>
        <w:tblW w:w="8870" w:type="dxa"/>
        <w:jc w:val="center"/>
        <w:tblLayout w:type="fixed"/>
        <w:tblLook w:val="04A0" w:firstRow="1" w:lastRow="0" w:firstColumn="1" w:lastColumn="0" w:noHBand="0" w:noVBand="1"/>
      </w:tblPr>
      <w:tblGrid>
        <w:gridCol w:w="1138"/>
        <w:gridCol w:w="1138"/>
        <w:gridCol w:w="1138"/>
        <w:gridCol w:w="1138"/>
        <w:gridCol w:w="1200"/>
        <w:gridCol w:w="1884"/>
        <w:gridCol w:w="1234"/>
      </w:tblGrid>
      <w:tr w:rsidR="00872C3F" w:rsidTr="00E32C74">
        <w:trPr>
          <w:trHeight w:val="567"/>
          <w:jc w:val="center"/>
        </w:trPr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bookmarkEnd w:id="0"/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</w:t>
            </w: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/</w:t>
            </w: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1434</w:t>
            </w: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1433</w:t>
            </w: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1432</w:t>
            </w: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/1433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1431</w:t>
            </w: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الرتبة</w:t>
            </w:r>
            <w:proofErr w:type="gramEnd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 xml:space="preserve"> العلمية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</w:p>
          <w:p w:rsidR="00872C3F" w:rsidRPr="00F8746E" w:rsidRDefault="00872C3F" w:rsidP="00E32C74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الحالة</w:t>
            </w:r>
          </w:p>
        </w:tc>
      </w:tr>
      <w:tr w:rsidR="00872C3F" w:rsidTr="00E32C74">
        <w:trPr>
          <w:trHeight w:val="454"/>
          <w:jc w:val="center"/>
        </w:trPr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أستاذ</w:t>
            </w:r>
          </w:p>
        </w:tc>
        <w:tc>
          <w:tcPr>
            <w:tcW w:w="12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العدد الإجمالي في نهاية العام</w:t>
            </w:r>
          </w:p>
        </w:tc>
      </w:tr>
      <w:tr w:rsidR="00872C3F" w:rsidTr="00E32C74">
        <w:trPr>
          <w:trHeight w:val="454"/>
          <w:jc w:val="center"/>
        </w:trPr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أستاذ</w:t>
            </w:r>
            <w:proofErr w:type="gramEnd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 xml:space="preserve"> مشارك</w:t>
            </w: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872C3F" w:rsidTr="00E32C74">
        <w:trPr>
          <w:trHeight w:val="454"/>
          <w:jc w:val="center"/>
        </w:trPr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31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>أستاذ</w:t>
            </w:r>
            <w:proofErr w:type="gramEnd"/>
            <w:r w:rsidRPr="00F8746E"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  <w:t xml:space="preserve"> مساعد</w:t>
            </w: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872C3F" w:rsidTr="00E32C74">
        <w:trPr>
          <w:trHeight w:val="454"/>
          <w:jc w:val="center"/>
        </w:trPr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53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19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bidi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محاضر</w:t>
            </w: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872C3F" w:rsidTr="00E32C74">
        <w:trPr>
          <w:trHeight w:val="454"/>
          <w:jc w:val="center"/>
        </w:trPr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56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52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2C3F" w:rsidRPr="00C62872" w:rsidRDefault="00872C3F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62872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28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872C3F" w:rsidRPr="00F8746E" w:rsidRDefault="00872C3F" w:rsidP="00E32C74">
            <w:pPr>
              <w:autoSpaceDE w:val="0"/>
              <w:autoSpaceDN w:val="0"/>
              <w:bidi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F8746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معيد</w:t>
            </w:r>
          </w:p>
        </w:tc>
        <w:tc>
          <w:tcPr>
            <w:tcW w:w="12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872C3F" w:rsidRPr="00F8746E" w:rsidRDefault="00872C3F" w:rsidP="00E32C74">
            <w:pPr>
              <w:autoSpaceDE w:val="0"/>
              <w:autoSpaceDN w:val="0"/>
              <w:adjustRightInd w:val="0"/>
              <w:spacing w:before="120" w:after="120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872C3F" w:rsidRDefault="00872C3F" w:rsidP="00872C3F">
      <w:pPr>
        <w:bidi w:val="0"/>
        <w:ind w:left="917"/>
        <w:rPr>
          <w:rtl/>
        </w:rPr>
      </w:pPr>
    </w:p>
    <w:p w:rsidR="00872C3F" w:rsidRDefault="00872C3F" w:rsidP="00872C3F">
      <w:pPr>
        <w:bidi w:val="0"/>
        <w:ind w:left="917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37AED5D0" wp14:editId="494D540B">
            <wp:simplePos x="0" y="0"/>
            <wp:positionH relativeFrom="column">
              <wp:posOffset>-445770</wp:posOffset>
            </wp:positionH>
            <wp:positionV relativeFrom="paragraph">
              <wp:posOffset>142875</wp:posOffset>
            </wp:positionV>
            <wp:extent cx="6008702" cy="3611493"/>
            <wp:effectExtent l="19050" t="0" r="11098" b="8007"/>
            <wp:wrapNone/>
            <wp:docPr id="100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72C3F" w:rsidRDefault="00872C3F" w:rsidP="00872C3F">
      <w:pPr>
        <w:pStyle w:val="a4"/>
        <w:numPr>
          <w:ilvl w:val="0"/>
          <w:numId w:val="1"/>
        </w:numPr>
        <w:bidi w:val="0"/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872C3F" w:rsidRPr="00E40813" w:rsidRDefault="00872C3F" w:rsidP="00872C3F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color w:val="000000"/>
          <w:rtl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69F"/>
    <w:multiLevelType w:val="hybridMultilevel"/>
    <w:tmpl w:val="57966FC4"/>
    <w:lvl w:ilvl="0" w:tplc="3E04A8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3F"/>
    <w:rsid w:val="0009104B"/>
    <w:rsid w:val="001171A7"/>
    <w:rsid w:val="008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3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3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C3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3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C3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C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SA" sz="1100" b="0"/>
              <a:t>شكل (</a:t>
            </a:r>
            <a:r>
              <a:rPr lang="ar-EG" sz="1100" b="0"/>
              <a:t> 1</a:t>
            </a:r>
            <a:r>
              <a:rPr lang="ar-EG" sz="1100" b="0" baseline="0"/>
              <a:t> </a:t>
            </a:r>
            <a:r>
              <a:rPr lang="ar-SA" sz="1100" b="0"/>
              <a:t> ) : تطور الهرم الأكاديمي لأعضاء هيئة التدريس </a:t>
            </a:r>
            <a:r>
              <a:rPr lang="ar-JO" sz="1100" b="0"/>
              <a:t>ومن في حكمهم في كلية التربية بالزلفي حسب الرتبة الأكاديمية في السنوات 1431-</a:t>
            </a:r>
            <a:r>
              <a:rPr lang="ar-JO" sz="1100" b="0" baseline="0"/>
              <a:t> </a:t>
            </a:r>
            <a:r>
              <a:rPr lang="en-US" sz="1100" b="0" baseline="0"/>
              <a:t>6</a:t>
            </a:r>
            <a:r>
              <a:rPr lang="ar-JO" sz="1100" b="0" baseline="0"/>
              <a:t>143 هـ</a:t>
            </a:r>
            <a:endParaRPr lang="ar-JO" sz="1100" b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أستاذ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أستاذ مشارك</c:v>
                </c:pt>
              </c:strCache>
            </c:strRef>
          </c:tx>
          <c:spPr>
            <a:solidFill>
              <a:srgbClr val="843C0C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أستاذ مساعد</c:v>
                </c:pt>
              </c:strCache>
            </c:strRef>
          </c:tx>
          <c:spPr>
            <a:solidFill>
              <a:srgbClr val="2F401E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ورقة1!$D$2:$D$5</c:f>
              <c:numCache>
                <c:formatCode>General</c:formatCode>
                <c:ptCount val="4"/>
                <c:pt idx="0">
                  <c:v>31</c:v>
                </c:pt>
                <c:pt idx="1">
                  <c:v>32</c:v>
                </c:pt>
                <c:pt idx="2">
                  <c:v>65</c:v>
                </c:pt>
                <c:pt idx="3">
                  <c:v>91</c:v>
                </c:pt>
              </c:numCache>
            </c:numRef>
          </c:val>
        </c:ser>
        <c:ser>
          <c:idx val="3"/>
          <c:order val="3"/>
          <c:tx>
            <c:strRef>
              <c:f>ورقة1!$E$1</c:f>
              <c:strCache>
                <c:ptCount val="1"/>
                <c:pt idx="0">
                  <c:v>محاضر</c:v>
                </c:pt>
              </c:strCache>
            </c:strRef>
          </c:tx>
          <c:spPr>
            <a:solidFill>
              <a:srgbClr val="A4893E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ورقة1!$E$2:$E$5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40</c:v>
                </c:pt>
                <c:pt idx="3">
                  <c:v>53</c:v>
                </c:pt>
              </c:numCache>
            </c:numRef>
          </c:val>
        </c:ser>
        <c:ser>
          <c:idx val="4"/>
          <c:order val="4"/>
          <c:tx>
            <c:strRef>
              <c:f>ورقة1!$F$1</c:f>
              <c:strCache>
                <c:ptCount val="1"/>
                <c:pt idx="0">
                  <c:v>معيد</c:v>
                </c:pt>
              </c:strCache>
            </c:strRef>
          </c:tx>
          <c:spPr>
            <a:solidFill>
              <a:srgbClr val="A3A3A3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ورقة1!$F$2:$F$5</c:f>
              <c:numCache>
                <c:formatCode>General</c:formatCode>
                <c:ptCount val="4"/>
                <c:pt idx="0">
                  <c:v>28</c:v>
                </c:pt>
                <c:pt idx="1">
                  <c:v>29</c:v>
                </c:pt>
                <c:pt idx="2">
                  <c:v>52</c:v>
                </c:pt>
                <c:pt idx="3">
                  <c:v>56</c:v>
                </c:pt>
              </c:numCache>
            </c:numRef>
          </c:val>
        </c:ser>
        <c:ser>
          <c:idx val="5"/>
          <c:order val="5"/>
          <c:tx>
            <c:strRef>
              <c:f>ورقة1!$G$1</c:f>
              <c:strCache>
                <c:ptCount val="1"/>
                <c:pt idx="0">
                  <c:v>متعاون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ورقة1!$G$2:$G$5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</c:ser>
        <c:ser>
          <c:idx val="6"/>
          <c:order val="6"/>
          <c:tx>
            <c:strRef>
              <c:f>ورقة1!$H$1</c:f>
              <c:strCache>
                <c:ptCount val="1"/>
                <c:pt idx="0">
                  <c:v>منتدب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ورقة1!$I$1</c:f>
              <c:strCache>
                <c:ptCount val="1"/>
                <c:pt idx="0">
                  <c:v>مدرس لغة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ورقة1!$I$2:$I$5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ورقة1!$J$1</c:f>
              <c:strCache>
                <c:ptCount val="1"/>
                <c:pt idx="0">
                  <c:v>مساعد باحث</c:v>
                </c:pt>
              </c:strCache>
            </c:strRef>
          </c:tx>
          <c:spPr>
            <a:solidFill>
              <a:srgbClr val="C5E0B3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ورقة1!$J$2:$J$5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47168"/>
        <c:axId val="139848704"/>
      </c:barChart>
      <c:catAx>
        <c:axId val="139847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848704"/>
        <c:crosses val="autoZero"/>
        <c:auto val="1"/>
        <c:lblAlgn val="ctr"/>
        <c:lblOffset val="100"/>
        <c:noMultiLvlLbl val="0"/>
      </c:catAx>
      <c:valAx>
        <c:axId val="139848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39847168"/>
        <c:crosses val="autoZero"/>
        <c:crossBetween val="between"/>
        <c:majorUnit val="20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2015-03-27T00:14:00Z</dcterms:created>
  <dcterms:modified xsi:type="dcterms:W3CDTF">2015-03-27T00:14:00Z</dcterms:modified>
</cp:coreProperties>
</file>