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55" w:rsidRPr="00435813" w:rsidRDefault="00B75F55" w:rsidP="00B75F55">
      <w:pPr>
        <w:tabs>
          <w:tab w:val="left" w:pos="3758"/>
          <w:tab w:val="center" w:pos="4819"/>
        </w:tabs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B75F55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55" w:rsidRPr="00013E96" w:rsidRDefault="00B75F55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MDL- 323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55" w:rsidRPr="00013E96" w:rsidRDefault="00B75F55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  <w:lang w:bidi="ar-EG"/>
              </w:rPr>
              <w:t>لسادس</w:t>
            </w:r>
          </w:p>
        </w:tc>
      </w:tr>
      <w:tr w:rsidR="00B75F55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55" w:rsidRPr="00013E96" w:rsidRDefault="00B75F55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تحليل سوائل الجسم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55" w:rsidRPr="00013E96" w:rsidRDefault="00B75F55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B75F55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55" w:rsidRPr="00013E96" w:rsidRDefault="00B75F55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MDL- 313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55" w:rsidRPr="00013E96" w:rsidRDefault="00B75F55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B75F55" w:rsidRPr="00435813" w:rsidRDefault="00B75F55" w:rsidP="00B75F55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 </w:t>
      </w:r>
      <w:r w:rsidRPr="00435813">
        <w:rPr>
          <w:rFonts w:ascii="Tahoma" w:hAnsi="Tahoma" w:cs="Tahoma"/>
          <w:sz w:val="20"/>
          <w:szCs w:val="20"/>
          <w:rtl/>
        </w:rPr>
        <w:t>هذا</w:t>
      </w:r>
      <w:r w:rsidRPr="00435813">
        <w:rPr>
          <w:rFonts w:ascii="Tahoma" w:hAnsi="Tahoma" w:cs="Tahoma"/>
          <w:sz w:val="20"/>
          <w:szCs w:val="20"/>
          <w:rtl/>
          <w:lang w:val="en-GB"/>
        </w:rPr>
        <w:t xml:space="preserve"> المقرر يدرس </w:t>
      </w:r>
      <w:r w:rsidRPr="00435813">
        <w:rPr>
          <w:rFonts w:ascii="Tahoma" w:hAnsi="Tahoma" w:cs="Tahoma"/>
          <w:sz w:val="20"/>
          <w:szCs w:val="20"/>
          <w:rtl/>
        </w:rPr>
        <w:t>توازن الماء وتوازن الكهارل في الجسم الحي، التنظيم الفيزيولوجي للماء والكهارل، البول والراسب البولي، السائل المنوي، سوائل الجهاز الهضمي, السائل الدماغي الشوكي، السائل المفصلي، المرشحات, النضحات, المخاط, الصديد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إكمال الطالب  لهذا المقرر سيكون بمقدوره عمل التحاليل الآتية:</w:t>
      </w:r>
    </w:p>
    <w:p w:rsidR="00B75F55" w:rsidRPr="00435813" w:rsidRDefault="00B75F55" w:rsidP="00B75F55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البول والراسب البولي.</w:t>
      </w:r>
    </w:p>
    <w:p w:rsidR="00B75F55" w:rsidRPr="00435813" w:rsidRDefault="00B75F55" w:rsidP="00B75F55">
      <w:pPr>
        <w:bidi/>
        <w:ind w:left="84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تركيز الماء والكهارل بالدم</w:t>
      </w:r>
    </w:p>
    <w:p w:rsidR="00B75F55" w:rsidRPr="00435813" w:rsidRDefault="00B75F55" w:rsidP="00B75F55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السائل النخاعي</w:t>
      </w:r>
    </w:p>
    <w:p w:rsidR="00B75F55" w:rsidRPr="00435813" w:rsidRDefault="00B75F55" w:rsidP="00B75F55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السائل المنوي</w:t>
      </w:r>
    </w:p>
    <w:p w:rsidR="00B75F55" w:rsidRPr="00435813" w:rsidRDefault="00B75F55" w:rsidP="00B75F55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السائل المفصلي</w:t>
      </w:r>
    </w:p>
    <w:p w:rsidR="00B75F55" w:rsidRPr="00435813" w:rsidRDefault="00B75F55" w:rsidP="00B75F55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حصى الكلية والمرارة</w:t>
      </w:r>
    </w:p>
    <w:p w:rsidR="00B75F55" w:rsidRPr="00435813" w:rsidRDefault="00B75F55" w:rsidP="00B75F55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تركيز المعادن الرئيسية </w:t>
      </w:r>
    </w:p>
    <w:p w:rsidR="00B75F55" w:rsidRPr="00435813" w:rsidRDefault="00B75F55" w:rsidP="00B75F55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التوازن الحمضي القاعدي</w:t>
      </w:r>
    </w:p>
    <w:p w:rsidR="00B75F55" w:rsidRPr="00435813" w:rsidRDefault="00B75F55" w:rsidP="00B75F55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التحاليل اللازمة للمخاط والصديد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محاضرات 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دروس عملية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حلقات نقاش 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 :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امتحان فصلي أول نظري وعملي </w:t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امتحان نهائي   </w:t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  <w:t xml:space="preserve"> </w:t>
      </w:r>
      <w:r w:rsidRPr="00435813">
        <w:rPr>
          <w:rFonts w:ascii="Tahoma" w:hAnsi="Tahoma" w:cs="Tahoma"/>
          <w:sz w:val="20"/>
          <w:szCs w:val="20"/>
          <w:rtl/>
        </w:rPr>
        <w:tab/>
        <w:t xml:space="preserve">            50%</w:t>
      </w:r>
    </w:p>
    <w:p w:rsidR="00B75F55" w:rsidRPr="00435813" w:rsidRDefault="00B75F55" w:rsidP="00B75F55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B75F55" w:rsidRPr="00435813" w:rsidRDefault="00B75F55" w:rsidP="00B75F55">
      <w:pPr>
        <w:pStyle w:val="Heading1"/>
        <w:spacing w:line="300" w:lineRule="atLeast"/>
        <w:jc w:val="right"/>
        <w:rPr>
          <w:rFonts w:ascii="Tahoma" w:hAnsi="Tahoma" w:cs="Tahoma"/>
          <w:b w:val="0"/>
          <w:bCs w:val="0"/>
          <w:sz w:val="20"/>
          <w:szCs w:val="20"/>
          <w:rtl/>
        </w:rPr>
      </w:pPr>
      <w:r w:rsidRPr="00435813">
        <w:rPr>
          <w:rFonts w:ascii="Tahoma" w:hAnsi="Tahoma" w:cs="Tahoma"/>
          <w:b w:val="0"/>
          <w:bCs w:val="0"/>
          <w:sz w:val="20"/>
          <w:szCs w:val="20"/>
        </w:rPr>
        <w:t>- Urinalysis and Body Fluids</w:t>
      </w:r>
      <w:r w:rsidRPr="00435813">
        <w:rPr>
          <w:rFonts w:ascii="Tahoma" w:hAnsi="Tahoma" w:cs="Tahoma"/>
          <w:b w:val="0"/>
          <w:bCs w:val="0"/>
          <w:sz w:val="20"/>
          <w:szCs w:val="20"/>
          <w:rtl/>
        </w:rPr>
        <w:t xml:space="preserve">: </w:t>
      </w:r>
      <w:r w:rsidRPr="00435813">
        <w:rPr>
          <w:rFonts w:ascii="Tahoma" w:hAnsi="Tahoma" w:cs="Tahoma"/>
          <w:b w:val="0"/>
          <w:bCs w:val="0"/>
          <w:sz w:val="20"/>
          <w:szCs w:val="20"/>
        </w:rPr>
        <w:t>Susan King </w:t>
      </w:r>
      <w:proofErr w:type="spellStart"/>
      <w:r w:rsidRPr="00435813">
        <w:rPr>
          <w:rFonts w:ascii="Tahoma" w:hAnsi="Tahoma" w:cs="Tahoma"/>
          <w:b w:val="0"/>
          <w:bCs w:val="0"/>
          <w:sz w:val="20"/>
          <w:szCs w:val="20"/>
        </w:rPr>
        <w:t>King</w:t>
      </w:r>
      <w:proofErr w:type="spellEnd"/>
      <w:r w:rsidRPr="00435813">
        <w:rPr>
          <w:rFonts w:ascii="Tahoma" w:hAnsi="Tahoma" w:cs="Tahoma"/>
          <w:b w:val="0"/>
          <w:bCs w:val="0"/>
          <w:sz w:val="20"/>
          <w:szCs w:val="20"/>
        </w:rPr>
        <w:t> </w:t>
      </w:r>
      <w:proofErr w:type="spellStart"/>
      <w:r w:rsidRPr="00435813">
        <w:rPr>
          <w:rFonts w:ascii="Tahoma" w:hAnsi="Tahoma" w:cs="Tahoma"/>
          <w:b w:val="0"/>
          <w:bCs w:val="0"/>
          <w:sz w:val="20"/>
          <w:szCs w:val="20"/>
        </w:rPr>
        <w:t>Strasinger</w:t>
      </w:r>
      <w:proofErr w:type="spellEnd"/>
      <w:r w:rsidRPr="00435813">
        <w:rPr>
          <w:rFonts w:ascii="Tahoma" w:hAnsi="Tahoma" w:cs="Tahoma"/>
          <w:b w:val="0"/>
          <w:bCs w:val="0"/>
          <w:sz w:val="20"/>
          <w:szCs w:val="20"/>
        </w:rPr>
        <w:t>, Marjorie </w:t>
      </w:r>
      <w:proofErr w:type="spellStart"/>
      <w:r w:rsidRPr="00435813">
        <w:rPr>
          <w:rFonts w:ascii="Tahoma" w:hAnsi="Tahoma" w:cs="Tahoma"/>
          <w:b w:val="0"/>
          <w:bCs w:val="0"/>
          <w:sz w:val="20"/>
          <w:szCs w:val="20"/>
        </w:rPr>
        <w:t>Schaub</w:t>
      </w:r>
      <w:proofErr w:type="spellEnd"/>
      <w:r w:rsidRPr="00435813">
        <w:rPr>
          <w:rFonts w:ascii="Tahoma" w:hAnsi="Tahoma" w:cs="Tahoma"/>
          <w:b w:val="0"/>
          <w:bCs w:val="0"/>
          <w:sz w:val="20"/>
          <w:szCs w:val="20"/>
        </w:rPr>
        <w:t> Di Lorenzo. 2001</w:t>
      </w:r>
    </w:p>
    <w:p w:rsidR="009F5686" w:rsidRPr="00B75F55" w:rsidRDefault="00B75F55" w:rsidP="00B75F55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>- Clinical Chemistry: Principles, Procedures, Correlation, 5th edition (2004).</w:t>
      </w:r>
    </w:p>
    <w:sectPr w:rsidR="009F5686" w:rsidRPr="00B75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55"/>
    <w:rsid w:val="009F5686"/>
    <w:rsid w:val="00B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5F55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F55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75F55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F55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2013-05-23T00:55:00Z</dcterms:created>
  <dcterms:modified xsi:type="dcterms:W3CDTF">2013-05-23T01:12:00Z</dcterms:modified>
</cp:coreProperties>
</file>