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92" w:rsidRDefault="00AE4392" w:rsidP="00AE4392">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AE4392"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MDL- 321</w:t>
            </w:r>
            <w:bookmarkEnd w:id="0"/>
          </w:p>
        </w:tc>
        <w:tc>
          <w:tcPr>
            <w:tcW w:w="4579"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السادس</w:t>
            </w:r>
          </w:p>
        </w:tc>
      </w:tr>
      <w:tr w:rsidR="00AE4392" w:rsidRPr="00013E96" w:rsidTr="00AE4392">
        <w:trPr>
          <w:trHeight w:val="467"/>
          <w:jc w:val="center"/>
        </w:trPr>
        <w:tc>
          <w:tcPr>
            <w:tcW w:w="4261"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الأدوية ومضادات الأحياء الدقيقة</w:t>
            </w:r>
          </w:p>
        </w:tc>
        <w:tc>
          <w:tcPr>
            <w:tcW w:w="4579"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AE4392"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MDL- 213/214</w:t>
            </w:r>
          </w:p>
        </w:tc>
        <w:tc>
          <w:tcPr>
            <w:tcW w:w="4579" w:type="dxa"/>
            <w:tcBorders>
              <w:top w:val="single" w:sz="4" w:space="0" w:color="auto"/>
              <w:left w:val="single" w:sz="4" w:space="0" w:color="auto"/>
              <w:bottom w:val="single" w:sz="4" w:space="0" w:color="auto"/>
              <w:right w:val="single" w:sz="4" w:space="0" w:color="auto"/>
            </w:tcBorders>
          </w:tcPr>
          <w:p w:rsidR="00AE4392" w:rsidRPr="00013E96" w:rsidRDefault="00AE4392"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AE4392" w:rsidRPr="00435813" w:rsidRDefault="00AE4392" w:rsidP="00AE4392">
      <w:pPr>
        <w:bidi/>
        <w:spacing w:after="0"/>
        <w:jc w:val="both"/>
        <w:rPr>
          <w:rFonts w:ascii="Tahoma" w:hAnsi="Tahoma" w:cs="Tahoma"/>
          <w:b/>
          <w:bCs/>
          <w:sz w:val="20"/>
          <w:szCs w:val="20"/>
          <w:rtl/>
        </w:rPr>
      </w:pPr>
      <w:r w:rsidRPr="00435813">
        <w:rPr>
          <w:rFonts w:ascii="Tahoma" w:hAnsi="Tahoma" w:cs="Tahoma"/>
          <w:b/>
          <w:bCs/>
          <w:sz w:val="20"/>
          <w:szCs w:val="20"/>
          <w:rtl/>
        </w:rPr>
        <w:t>تعريف موجز بمحتويات المقرر:</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يشمل هذا المقرر تاريخ وأسس علم الأدوية وأسس امتصاصها وانتشارها وتركيبها وحركتيها وتأثيرها السلبي وتداخلها وتصنيفها واستخداماتها الوقائية، باستخدام المركبات المضادة للبكتريا والفيروسات والفطريات والطفيليات. كما يتم دراسة فعالية المضادات الحيوية والزرع والتحسس والكائنات الحية المنتجة للمضادات الحيوية وتصنيف المضادات الحيوية.</w:t>
      </w:r>
    </w:p>
    <w:p w:rsidR="00AE4392" w:rsidRPr="00435813" w:rsidRDefault="00AE4392" w:rsidP="00AE4392">
      <w:pPr>
        <w:bidi/>
        <w:spacing w:after="0"/>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 يعرف:</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علم الأدوية العام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حركية الدواء داخل الجسم من امتصاص و توزيع وأيض وإخراج</w:t>
      </w:r>
    </w:p>
    <w:p w:rsidR="00AE4392" w:rsidRPr="00435813" w:rsidRDefault="00AE4392" w:rsidP="00AE4392">
      <w:pPr>
        <w:bidi/>
        <w:spacing w:after="0"/>
        <w:jc w:val="both"/>
        <w:rPr>
          <w:rFonts w:ascii="Tahoma" w:hAnsi="Tahoma" w:cs="Tahoma"/>
          <w:sz w:val="20"/>
          <w:szCs w:val="20"/>
        </w:rPr>
      </w:pPr>
      <w:r w:rsidRPr="00435813">
        <w:rPr>
          <w:rFonts w:ascii="Tahoma" w:hAnsi="Tahoma" w:cs="Tahoma"/>
          <w:sz w:val="20"/>
          <w:szCs w:val="20"/>
          <w:rtl/>
        </w:rPr>
        <w:t>- آلية عمل الدواء وديناميكيته</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العلاج الكيميائي للميكروبات:</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تصنيف للمركبات المضادة للبكتريا ومقاومته فعل هذه المضادات.</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رد الفعل العكسي للمركبات المضادة للبكتريا والتداخل في عمل هذه المركبات. </w:t>
      </w:r>
    </w:p>
    <w:p w:rsidR="00AE4392" w:rsidRPr="00435813" w:rsidRDefault="00AE4392" w:rsidP="00AE4392">
      <w:pPr>
        <w:bidi/>
        <w:spacing w:after="0"/>
        <w:jc w:val="both"/>
        <w:rPr>
          <w:rFonts w:ascii="Tahoma" w:hAnsi="Tahoma" w:cs="Tahoma"/>
          <w:sz w:val="20"/>
          <w:szCs w:val="20"/>
        </w:rPr>
      </w:pPr>
      <w:r w:rsidRPr="00435813">
        <w:rPr>
          <w:rFonts w:ascii="Tahoma" w:hAnsi="Tahoma" w:cs="Tahoma"/>
          <w:sz w:val="20"/>
          <w:szCs w:val="20"/>
          <w:rtl/>
        </w:rPr>
        <w:t xml:space="preserve">- الوقاية من الأمراض المعدية باستخدام المركبات المضادة للبكتريا وأساة استخدام تلك المكبات. </w:t>
      </w:r>
    </w:p>
    <w:p w:rsidR="00AE4392" w:rsidRPr="00435813" w:rsidRDefault="00AE4392" w:rsidP="00AE4392">
      <w:pPr>
        <w:bidi/>
        <w:spacing w:after="0"/>
        <w:jc w:val="both"/>
        <w:rPr>
          <w:rFonts w:ascii="Tahoma" w:hAnsi="Tahoma" w:cs="Tahoma"/>
          <w:sz w:val="20"/>
          <w:szCs w:val="20"/>
        </w:rPr>
      </w:pPr>
      <w:r w:rsidRPr="00435813">
        <w:rPr>
          <w:rFonts w:ascii="Tahoma" w:hAnsi="Tahoma" w:cs="Tahoma"/>
          <w:sz w:val="20"/>
          <w:szCs w:val="20"/>
          <w:rtl/>
        </w:rPr>
        <w:t>- فعالية المضادات الحيوية حسب تركيبها وذلك بالتعيين الكمي أو بحساب اقل تركيز يثبط نمو البكتريا أو اقل تركيز يقتل البكتريا</w:t>
      </w:r>
      <w:r w:rsidRPr="00435813">
        <w:rPr>
          <w:rFonts w:ascii="Tahoma" w:hAnsi="Tahoma" w:cs="Tahoma"/>
          <w:sz w:val="20"/>
          <w:szCs w:val="20"/>
        </w:rPr>
        <w:t xml:space="preserve">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الزرع والتحسس ضد المركبات الدوائية والكائنات المنتجة للمضادات الحيوية.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تصنيف المضادات الحيوية: مثل مضادات البيتا لاكتام، تتراسيكلين، كلورامفينيكول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مضادات الفيروسات, ومضادات الفطريات  ومضادات الطفيليات.</w:t>
      </w:r>
    </w:p>
    <w:p w:rsidR="00AE4392" w:rsidRPr="00435813" w:rsidRDefault="00AE4392" w:rsidP="00AE4392">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حلقات نقاش </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xml:space="preserve">- دروس عملية </w:t>
      </w:r>
    </w:p>
    <w:p w:rsidR="00AE4392" w:rsidRPr="00435813" w:rsidRDefault="00AE4392" w:rsidP="00AE4392">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AE4392" w:rsidRPr="00435813" w:rsidRDefault="00AE4392" w:rsidP="00AE4392">
      <w:pPr>
        <w:bidi/>
        <w:spacing w:after="0"/>
        <w:jc w:val="both"/>
        <w:rPr>
          <w:rFonts w:ascii="Tahoma" w:hAnsi="Tahoma" w:cs="Tahoma"/>
          <w:sz w:val="20"/>
          <w:szCs w:val="20"/>
        </w:rPr>
      </w:pPr>
      <w:r w:rsidRPr="00435813">
        <w:rPr>
          <w:rFonts w:ascii="Tahoma" w:hAnsi="Tahoma" w:cs="Tahoma"/>
          <w:sz w:val="20"/>
          <w:szCs w:val="20"/>
          <w:rtl/>
        </w:rPr>
        <w:t>- امتحان فصلي أول نظري وعملي          50%</w:t>
      </w:r>
    </w:p>
    <w:p w:rsidR="00AE4392" w:rsidRPr="00435813" w:rsidRDefault="00AE4392" w:rsidP="00AE4392">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AE4392" w:rsidRDefault="00AE4392" w:rsidP="00AE4392">
      <w:pPr>
        <w:bidi/>
        <w:spacing w:after="0"/>
        <w:jc w:val="both"/>
        <w:rPr>
          <w:rFonts w:ascii="Tahoma" w:hAnsi="Tahoma" w:cs="Tahoma"/>
          <w:b/>
          <w:bCs/>
          <w:sz w:val="20"/>
          <w:szCs w:val="20"/>
        </w:rPr>
      </w:pPr>
    </w:p>
    <w:p w:rsidR="00AE4392" w:rsidRPr="00435813" w:rsidRDefault="00AE4392" w:rsidP="00AE4392">
      <w:pPr>
        <w:bidi/>
        <w:spacing w:after="0"/>
        <w:jc w:val="both"/>
        <w:rPr>
          <w:rFonts w:ascii="Tahoma" w:hAnsi="Tahoma" w:cs="Tahoma"/>
          <w:b/>
          <w:bCs/>
          <w:sz w:val="20"/>
          <w:szCs w:val="20"/>
          <w:rtl/>
        </w:rPr>
      </w:pPr>
      <w:r w:rsidRPr="00435813">
        <w:rPr>
          <w:rFonts w:ascii="Tahoma" w:hAnsi="Tahoma" w:cs="Tahoma"/>
          <w:b/>
          <w:bCs/>
          <w:sz w:val="20"/>
          <w:szCs w:val="20"/>
          <w:rtl/>
        </w:rPr>
        <w:t>المراجع:</w:t>
      </w:r>
    </w:p>
    <w:p w:rsidR="00AE4392" w:rsidRPr="00435813" w:rsidRDefault="00AE4392" w:rsidP="00AE4392">
      <w:pPr>
        <w:bidi/>
        <w:spacing w:after="0"/>
        <w:jc w:val="right"/>
        <w:rPr>
          <w:rFonts w:ascii="Tahoma" w:hAnsi="Tahoma" w:cs="Tahoma"/>
          <w:sz w:val="20"/>
          <w:szCs w:val="20"/>
          <w:rtl/>
        </w:rPr>
      </w:pPr>
      <w:r w:rsidRPr="00435813">
        <w:rPr>
          <w:rFonts w:ascii="Tahoma" w:hAnsi="Tahoma" w:cs="Tahoma"/>
          <w:sz w:val="20"/>
          <w:szCs w:val="20"/>
        </w:rPr>
        <w:t xml:space="preserve">- </w:t>
      </w:r>
      <w:hyperlink r:id="rId5" w:history="1">
        <w:r w:rsidRPr="00435813">
          <w:rPr>
            <w:rStyle w:val="srtitle1"/>
            <w:rFonts w:ascii="Tahoma" w:hAnsi="Tahoma" w:cs="Tahoma"/>
            <w:b w:val="0"/>
            <w:bCs w:val="0"/>
            <w:sz w:val="20"/>
            <w:szCs w:val="20"/>
          </w:rPr>
          <w:t>Principles of Pharmacology: The Pathophysiologic Basis of Drug Therapy</w:t>
        </w:r>
      </w:hyperlink>
      <w:r w:rsidRPr="00435813">
        <w:rPr>
          <w:rFonts w:ascii="Tahoma" w:hAnsi="Tahoma" w:cs="Tahoma"/>
          <w:sz w:val="20"/>
          <w:szCs w:val="20"/>
        </w:rPr>
        <w:t xml:space="preserve"> by David E. Golan, </w:t>
      </w:r>
    </w:p>
    <w:p w:rsidR="00AE4392" w:rsidRPr="00435813" w:rsidRDefault="00AE4392" w:rsidP="00AE4392">
      <w:pPr>
        <w:bidi/>
        <w:spacing w:after="0"/>
        <w:jc w:val="right"/>
        <w:rPr>
          <w:rFonts w:ascii="Tahoma" w:hAnsi="Tahoma" w:cs="Tahoma" w:hint="cs"/>
          <w:sz w:val="20"/>
          <w:szCs w:val="20"/>
          <w:rtl/>
        </w:rPr>
      </w:pPr>
      <w:r w:rsidRPr="00435813">
        <w:rPr>
          <w:rFonts w:ascii="Tahoma" w:hAnsi="Tahoma" w:cs="Tahoma"/>
          <w:sz w:val="20"/>
          <w:szCs w:val="20"/>
        </w:rPr>
        <w:t xml:space="preserve">   </w:t>
      </w:r>
      <w:proofErr w:type="spellStart"/>
      <w:r w:rsidRPr="00435813">
        <w:rPr>
          <w:rFonts w:ascii="Tahoma" w:hAnsi="Tahoma" w:cs="Tahoma"/>
          <w:sz w:val="20"/>
          <w:szCs w:val="20"/>
        </w:rPr>
        <w:t>Armen</w:t>
      </w:r>
      <w:proofErr w:type="spellEnd"/>
      <w:r w:rsidRPr="00435813">
        <w:rPr>
          <w:rFonts w:ascii="Tahoma" w:hAnsi="Tahoma" w:cs="Tahoma"/>
          <w:sz w:val="20"/>
          <w:szCs w:val="20"/>
        </w:rPr>
        <w:t xml:space="preserve"> H. </w:t>
      </w:r>
      <w:proofErr w:type="spellStart"/>
      <w:r w:rsidRPr="00435813">
        <w:rPr>
          <w:rFonts w:ascii="Tahoma" w:hAnsi="Tahoma" w:cs="Tahoma"/>
          <w:sz w:val="20"/>
          <w:szCs w:val="20"/>
        </w:rPr>
        <w:t>Tashjian</w:t>
      </w:r>
      <w:proofErr w:type="spellEnd"/>
      <w:r w:rsidRPr="00435813">
        <w:rPr>
          <w:rFonts w:ascii="Tahoma" w:hAnsi="Tahoma" w:cs="Tahoma"/>
          <w:sz w:val="20"/>
          <w:szCs w:val="20"/>
        </w:rPr>
        <w:t xml:space="preserve">, </w:t>
      </w:r>
      <w:proofErr w:type="spellStart"/>
      <w:r w:rsidRPr="00435813">
        <w:rPr>
          <w:rFonts w:ascii="Tahoma" w:hAnsi="Tahoma" w:cs="Tahoma"/>
          <w:sz w:val="20"/>
          <w:szCs w:val="20"/>
        </w:rPr>
        <w:t>Ehrin</w:t>
      </w:r>
      <w:proofErr w:type="spellEnd"/>
      <w:r w:rsidRPr="00435813">
        <w:rPr>
          <w:rFonts w:ascii="Tahoma" w:hAnsi="Tahoma" w:cs="Tahoma"/>
          <w:sz w:val="20"/>
          <w:szCs w:val="20"/>
        </w:rPr>
        <w:t xml:space="preserve"> Armstrong, and Joshua M. </w:t>
      </w:r>
      <w:proofErr w:type="spellStart"/>
      <w:r w:rsidRPr="00435813">
        <w:rPr>
          <w:rFonts w:ascii="Tahoma" w:hAnsi="Tahoma" w:cs="Tahoma"/>
          <w:sz w:val="20"/>
          <w:szCs w:val="20"/>
        </w:rPr>
        <w:t>Galanter</w:t>
      </w:r>
      <w:proofErr w:type="spellEnd"/>
      <w:r w:rsidRPr="00435813">
        <w:rPr>
          <w:rStyle w:val="bindingblock1"/>
          <w:rFonts w:ascii="Tahoma" w:hAnsi="Tahoma" w:cs="Tahoma"/>
          <w:sz w:val="20"/>
          <w:szCs w:val="20"/>
        </w:rPr>
        <w:t>, 2004</w:t>
      </w:r>
    </w:p>
    <w:p w:rsidR="00AE4392" w:rsidRPr="00435813" w:rsidRDefault="00AE4392" w:rsidP="00AE4392">
      <w:pPr>
        <w:bidi/>
        <w:spacing w:after="0"/>
        <w:jc w:val="right"/>
        <w:rPr>
          <w:rFonts w:ascii="Tahoma" w:hAnsi="Tahoma" w:cs="Tahoma"/>
          <w:sz w:val="20"/>
          <w:szCs w:val="20"/>
        </w:rPr>
      </w:pPr>
      <w:r w:rsidRPr="00435813">
        <w:rPr>
          <w:rFonts w:ascii="Tahoma" w:hAnsi="Tahoma" w:cs="Tahoma"/>
          <w:sz w:val="20"/>
          <w:szCs w:val="20"/>
        </w:rPr>
        <w:t xml:space="preserve">- </w:t>
      </w:r>
      <w:hyperlink r:id="rId6" w:history="1">
        <w:r w:rsidRPr="00435813">
          <w:rPr>
            <w:rStyle w:val="srtitle1"/>
            <w:rFonts w:ascii="Tahoma" w:hAnsi="Tahoma" w:cs="Tahoma"/>
            <w:b w:val="0"/>
            <w:bCs w:val="0"/>
            <w:sz w:val="20"/>
            <w:szCs w:val="20"/>
          </w:rPr>
          <w:t>The Antimicrobial Drugs</w:t>
        </w:r>
      </w:hyperlink>
      <w:r w:rsidRPr="00435813">
        <w:rPr>
          <w:rFonts w:ascii="Tahoma" w:hAnsi="Tahoma" w:cs="Tahoma"/>
          <w:sz w:val="20"/>
          <w:szCs w:val="20"/>
        </w:rPr>
        <w:t xml:space="preserve"> by Eric M. Scholar and William B. Pratt</w:t>
      </w:r>
      <w:r w:rsidRPr="00435813">
        <w:rPr>
          <w:rStyle w:val="bindingblock1"/>
          <w:rFonts w:ascii="Tahoma" w:hAnsi="Tahoma" w:cs="Tahoma"/>
          <w:sz w:val="20"/>
          <w:szCs w:val="20"/>
        </w:rPr>
        <w:t>, 2000</w:t>
      </w:r>
    </w:p>
    <w:p w:rsidR="00AE4392" w:rsidRPr="00435813" w:rsidRDefault="00AE4392" w:rsidP="00AE4392">
      <w:pPr>
        <w:bidi/>
        <w:spacing w:after="0"/>
        <w:jc w:val="both"/>
        <w:rPr>
          <w:rFonts w:ascii="Tahoma" w:hAnsi="Tahoma" w:cs="Tahoma"/>
          <w:sz w:val="20"/>
          <w:szCs w:val="20"/>
        </w:rPr>
      </w:pPr>
    </w:p>
    <w:p w:rsidR="009F5686" w:rsidRDefault="009F5686" w:rsidP="00AE4392"/>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92"/>
    <w:rsid w:val="009F5686"/>
    <w:rsid w:val="00AE4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sid w:val="00AE4392"/>
    <w:rPr>
      <w:b/>
      <w:bCs/>
    </w:rPr>
  </w:style>
  <w:style w:type="character" w:customStyle="1" w:styleId="bindingblock1">
    <w:name w:val="bindingblock1"/>
    <w:basedOn w:val="DefaultParagraphFont"/>
    <w:rsid w:val="00AE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sid w:val="00AE4392"/>
    <w:rPr>
      <w:b/>
      <w:bCs/>
    </w:rPr>
  </w:style>
  <w:style w:type="character" w:customStyle="1" w:styleId="bindingblock1">
    <w:name w:val="bindingblock1"/>
    <w:basedOn w:val="DefaultParagraphFont"/>
    <w:rsid w:val="00AE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Antimicrobial-Drugs-Eric-M-Scholar/dp/0195125290/sr=8-7/qid=1166958158/ref=pd_bbs_7/002-8155704-1090450?ie=UTF8&amp;s=books" TargetMode="External"/><Relationship Id="rId5" Type="http://schemas.openxmlformats.org/officeDocument/2006/relationships/hyperlink" Target="http://www.amazon.com/Principles-Pharmacology-Pathophysiologic-Basis-Therapy/dp/0781746787/sr=8-12/qid=1166957875/ref=pd_bbs_12/002-8155704-1090450?ie=UTF8&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2013-05-23T00:54:00Z</dcterms:created>
  <dcterms:modified xsi:type="dcterms:W3CDTF">2013-05-23T01:11:00Z</dcterms:modified>
</cp:coreProperties>
</file>