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58" w:rsidRPr="00435813" w:rsidRDefault="00C61158" w:rsidP="00C61158">
      <w:pPr>
        <w:bidi/>
        <w:jc w:val="center"/>
        <w:rPr>
          <w:rFonts w:ascii="Tahoma" w:hAnsi="Tahoma" w:cs="Tahoma"/>
          <w:b/>
          <w:bCs/>
          <w:sz w:val="20"/>
          <w:szCs w:val="20"/>
        </w:rPr>
      </w:pPr>
      <w:r w:rsidRPr="00435813">
        <w:rPr>
          <w:rFonts w:ascii="Tahoma" w:hAnsi="Tahoma" w:cs="Tahoma"/>
          <w:b/>
          <w:bCs/>
          <w:sz w:val="20"/>
          <w:szCs w:val="20"/>
          <w:rtl/>
        </w:rPr>
        <w:t>نموذج وصف مقرر دراسي</w:t>
      </w:r>
    </w:p>
    <w:p w:rsidR="00C61158" w:rsidRPr="00435813" w:rsidRDefault="00C61158" w:rsidP="00C61158">
      <w:pPr>
        <w:bidi/>
        <w:jc w:val="both"/>
        <w:rPr>
          <w:rFonts w:ascii="Tahoma" w:hAnsi="Tahoma" w:cs="Tahoma"/>
          <w:b/>
          <w:bCs/>
          <w:sz w:val="20"/>
          <w:szCs w:val="20"/>
          <w:rtl/>
        </w:rPr>
      </w:pPr>
    </w:p>
    <w:tbl>
      <w:tblPr>
        <w:bidiVisual/>
        <w:tblW w:w="8840" w:type="dxa"/>
        <w:jc w:val="center"/>
        <w:tblLook w:val="01E0" w:firstRow="1" w:lastRow="1" w:firstColumn="1" w:lastColumn="1" w:noHBand="0" w:noVBand="0"/>
      </w:tblPr>
      <w:tblGrid>
        <w:gridCol w:w="4261"/>
        <w:gridCol w:w="4579"/>
      </w:tblGrid>
      <w:tr w:rsidR="00C61158"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MDL- 222</w:t>
            </w:r>
            <w:bookmarkEnd w:id="0"/>
          </w:p>
        </w:tc>
        <w:tc>
          <w:tcPr>
            <w:tcW w:w="4579"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الرابع</w:t>
            </w:r>
          </w:p>
        </w:tc>
      </w:tr>
      <w:tr w:rsidR="00C61158"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تقنية الأنسجة</w:t>
            </w:r>
          </w:p>
        </w:tc>
        <w:tc>
          <w:tcPr>
            <w:tcW w:w="4579"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3(1+2)</w:t>
            </w:r>
          </w:p>
        </w:tc>
      </w:tr>
      <w:tr w:rsidR="00C61158"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MDL- 211</w:t>
            </w:r>
          </w:p>
        </w:tc>
        <w:tc>
          <w:tcPr>
            <w:tcW w:w="4579" w:type="dxa"/>
            <w:tcBorders>
              <w:top w:val="single" w:sz="4" w:space="0" w:color="auto"/>
              <w:left w:val="single" w:sz="4" w:space="0" w:color="auto"/>
              <w:bottom w:val="single" w:sz="4" w:space="0" w:color="auto"/>
              <w:right w:val="single" w:sz="4" w:space="0" w:color="auto"/>
            </w:tcBorders>
          </w:tcPr>
          <w:p w:rsidR="00C61158" w:rsidRPr="00013E96" w:rsidRDefault="00C6115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C61158" w:rsidRPr="00435813" w:rsidRDefault="00C61158" w:rsidP="00E3458B">
      <w:pPr>
        <w:bidi/>
        <w:spacing w:after="0"/>
        <w:jc w:val="both"/>
        <w:rPr>
          <w:rFonts w:ascii="Tahoma" w:hAnsi="Tahoma" w:cs="Tahoma"/>
          <w:sz w:val="20"/>
          <w:szCs w:val="20"/>
          <w:rtl/>
        </w:rPr>
      </w:pPr>
    </w:p>
    <w:p w:rsidR="00C61158" w:rsidRPr="00435813" w:rsidRDefault="00C61158" w:rsidP="00E3458B">
      <w:pPr>
        <w:bidi/>
        <w:spacing w:after="0"/>
        <w:jc w:val="both"/>
        <w:rPr>
          <w:rFonts w:ascii="Tahoma" w:hAnsi="Tahoma" w:cs="Tahoma"/>
          <w:b/>
          <w:bCs/>
          <w:sz w:val="20"/>
          <w:szCs w:val="20"/>
          <w:rtl/>
        </w:rPr>
      </w:pPr>
      <w:r w:rsidRPr="00435813">
        <w:rPr>
          <w:rFonts w:ascii="Tahoma" w:hAnsi="Tahoma" w:cs="Tahoma"/>
          <w:b/>
          <w:bCs/>
          <w:sz w:val="20"/>
          <w:szCs w:val="20"/>
          <w:rtl/>
        </w:rPr>
        <w:t>وصف محتويات المقرر:</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xml:space="preserve"> التعريف بكيفية استلام وتسجيل العينات النسيجية وفحصها وانتقاء الأجزاء المرضية وطرق تثبيت الأنسجة وكافة أنواع المثبتات وطرق حفظ العينات في البارافين وتقطيعها وصباغتها مع المعرفة التامة بأنواع الصبغات الروتينية والهستوكيميائية والمناعية.</w:t>
      </w:r>
    </w:p>
    <w:p w:rsidR="00C61158" w:rsidRPr="00435813" w:rsidRDefault="00C61158" w:rsidP="00E3458B">
      <w:pPr>
        <w:bidi/>
        <w:spacing w:after="0"/>
        <w:jc w:val="both"/>
        <w:rPr>
          <w:rFonts w:ascii="Tahoma" w:hAnsi="Tahoma" w:cs="Tahoma"/>
          <w:b/>
          <w:bCs/>
          <w:sz w:val="20"/>
          <w:szCs w:val="20"/>
          <w:rtl/>
        </w:rPr>
      </w:pPr>
    </w:p>
    <w:p w:rsidR="00C61158" w:rsidRPr="00435813" w:rsidRDefault="00C61158" w:rsidP="00E3458B">
      <w:pPr>
        <w:bidi/>
        <w:spacing w:after="0"/>
        <w:jc w:val="both"/>
        <w:rPr>
          <w:rFonts w:ascii="Tahoma" w:hAnsi="Tahoma" w:cs="Tahoma"/>
          <w:b/>
          <w:bCs/>
          <w:sz w:val="20"/>
          <w:szCs w:val="20"/>
          <w:rtl/>
        </w:rPr>
      </w:pPr>
      <w:r w:rsidRPr="00435813">
        <w:rPr>
          <w:rFonts w:ascii="Tahoma" w:hAnsi="Tahoma" w:cs="Tahoma"/>
          <w:b/>
          <w:bCs/>
          <w:sz w:val="20"/>
          <w:szCs w:val="20"/>
          <w:rtl/>
        </w:rPr>
        <w:t>بنهاية هذا المقرر يكون الطالب قادرا على:</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استلام وتسجيل العينات.</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الفحص الظاهري وانتقاء الأجزاء المرضية.</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يعرف التثبيت: - أهميته - أنواع المثبتات - العوامل المؤثرة.</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تمرير الأنسجة:  - وضع النسيج في البرافين – التقطيع - أنواع الميكروتومات - القطاعات الثلجية  - مشكلات التمرير.</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xml:space="preserve">- صباغة الأنسجة: - صبغة الهيماتوكلين الروتينية - مشكلات الصباغة في قطاعات الأنسجة  - الصبغات الهستوكيميائية </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xml:space="preserve">  والهستوكيمياء المناعية.                                                                                           </w:t>
      </w:r>
    </w:p>
    <w:p w:rsidR="00C61158" w:rsidRPr="00435813" w:rsidRDefault="00C61158" w:rsidP="00E3458B">
      <w:pPr>
        <w:tabs>
          <w:tab w:val="left" w:pos="2036"/>
        </w:tabs>
        <w:bidi/>
        <w:spacing w:after="0"/>
        <w:jc w:val="both"/>
        <w:rPr>
          <w:rFonts w:ascii="Tahoma" w:hAnsi="Tahoma" w:cs="Tahoma"/>
          <w:sz w:val="20"/>
          <w:szCs w:val="20"/>
          <w:rtl/>
        </w:rPr>
      </w:pPr>
      <w:r w:rsidRPr="00435813">
        <w:rPr>
          <w:rFonts w:ascii="Tahoma" w:hAnsi="Tahoma" w:cs="Tahoma"/>
          <w:sz w:val="20"/>
          <w:szCs w:val="20"/>
          <w:rtl/>
        </w:rPr>
        <w:tab/>
      </w:r>
    </w:p>
    <w:p w:rsidR="00C61158" w:rsidRPr="00435813" w:rsidRDefault="00C61158" w:rsidP="00E3458B">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محاضرات نظرية.</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xml:space="preserve">- دروس عملية </w:t>
      </w:r>
    </w:p>
    <w:p w:rsidR="00C61158" w:rsidRPr="00435813" w:rsidRDefault="00C61158" w:rsidP="00E3458B">
      <w:pPr>
        <w:bidi/>
        <w:spacing w:after="0"/>
        <w:jc w:val="both"/>
        <w:rPr>
          <w:rFonts w:ascii="Tahoma" w:hAnsi="Tahoma" w:cs="Tahoma"/>
          <w:sz w:val="20"/>
          <w:szCs w:val="20"/>
          <w:rtl/>
        </w:rPr>
      </w:pPr>
    </w:p>
    <w:p w:rsidR="00C61158" w:rsidRPr="00435813" w:rsidRDefault="00C61158" w:rsidP="00E3458B">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امتحان فصلي أول نظري وعملي         50%</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C61158" w:rsidRPr="00435813" w:rsidRDefault="00C61158" w:rsidP="00E3458B">
      <w:pPr>
        <w:bidi/>
        <w:spacing w:after="0"/>
        <w:jc w:val="both"/>
        <w:rPr>
          <w:rFonts w:ascii="Tahoma" w:hAnsi="Tahoma" w:cs="Tahoma"/>
          <w:sz w:val="20"/>
          <w:szCs w:val="20"/>
          <w:rtl/>
        </w:rPr>
      </w:pPr>
      <w:r w:rsidRPr="00435813">
        <w:rPr>
          <w:rFonts w:ascii="Tahoma" w:hAnsi="Tahoma" w:cs="Tahoma"/>
          <w:sz w:val="20"/>
          <w:szCs w:val="20"/>
          <w:rtl/>
        </w:rPr>
        <w:t xml:space="preserve">  </w:t>
      </w:r>
    </w:p>
    <w:p w:rsidR="00C61158" w:rsidRPr="00435813" w:rsidRDefault="00C61158" w:rsidP="00E3458B">
      <w:pPr>
        <w:bidi/>
        <w:spacing w:after="0"/>
        <w:jc w:val="both"/>
        <w:rPr>
          <w:rFonts w:ascii="Tahoma" w:hAnsi="Tahoma" w:cs="Tahoma"/>
          <w:b/>
          <w:bCs/>
          <w:sz w:val="20"/>
          <w:szCs w:val="20"/>
          <w:rtl/>
        </w:rPr>
      </w:pPr>
      <w:r w:rsidRPr="00435813">
        <w:rPr>
          <w:rFonts w:ascii="Tahoma" w:hAnsi="Tahoma" w:cs="Tahoma"/>
          <w:b/>
          <w:bCs/>
          <w:sz w:val="20"/>
          <w:szCs w:val="20"/>
          <w:rtl/>
        </w:rPr>
        <w:t>الكتب والمراجع:</w:t>
      </w:r>
    </w:p>
    <w:p w:rsidR="00C61158" w:rsidRPr="00435813" w:rsidRDefault="00C61158" w:rsidP="00E3458B">
      <w:pPr>
        <w:bidi/>
        <w:spacing w:after="0"/>
        <w:jc w:val="right"/>
        <w:rPr>
          <w:rFonts w:ascii="Tahoma" w:hAnsi="Tahoma" w:cs="Tahoma"/>
          <w:sz w:val="20"/>
          <w:szCs w:val="20"/>
          <w:rtl/>
        </w:rPr>
      </w:pPr>
      <w:r w:rsidRPr="00435813">
        <w:rPr>
          <w:rFonts w:ascii="Tahoma" w:hAnsi="Tahoma" w:cs="Tahoma"/>
          <w:sz w:val="20"/>
          <w:szCs w:val="20"/>
        </w:rPr>
        <w:t xml:space="preserve">- Theory and practice of </w:t>
      </w:r>
      <w:proofErr w:type="spellStart"/>
      <w:r w:rsidRPr="00435813">
        <w:rPr>
          <w:rFonts w:ascii="Tahoma" w:hAnsi="Tahoma" w:cs="Tahoma"/>
          <w:sz w:val="20"/>
          <w:szCs w:val="20"/>
        </w:rPr>
        <w:t>histopathologic</w:t>
      </w:r>
      <w:proofErr w:type="spellEnd"/>
      <w:r w:rsidRPr="00435813">
        <w:rPr>
          <w:rFonts w:ascii="Tahoma" w:hAnsi="Tahoma" w:cs="Tahoma"/>
          <w:sz w:val="20"/>
          <w:szCs w:val="20"/>
        </w:rPr>
        <w:t xml:space="preserve"> techniques, 5</w:t>
      </w:r>
      <w:r w:rsidRPr="00435813">
        <w:rPr>
          <w:rFonts w:ascii="Tahoma" w:hAnsi="Tahoma" w:cs="Tahoma"/>
          <w:sz w:val="20"/>
          <w:szCs w:val="20"/>
          <w:vertAlign w:val="superscript"/>
        </w:rPr>
        <w:t>th</w:t>
      </w:r>
      <w:r w:rsidRPr="00435813">
        <w:rPr>
          <w:rFonts w:ascii="Tahoma" w:hAnsi="Tahoma" w:cs="Tahoma"/>
          <w:sz w:val="20"/>
          <w:szCs w:val="20"/>
        </w:rPr>
        <w:t xml:space="preserve"> edition, john D. </w:t>
      </w:r>
      <w:proofErr w:type="spellStart"/>
      <w:r w:rsidRPr="00435813">
        <w:rPr>
          <w:rFonts w:ascii="Tahoma" w:hAnsi="Tahoma" w:cs="Tahoma"/>
          <w:sz w:val="20"/>
          <w:szCs w:val="20"/>
        </w:rPr>
        <w:t>Pasncroft</w:t>
      </w:r>
      <w:proofErr w:type="spellEnd"/>
      <w:r w:rsidRPr="00435813">
        <w:rPr>
          <w:rFonts w:ascii="Tahoma" w:hAnsi="Tahoma" w:cs="Tahoma"/>
          <w:sz w:val="20"/>
          <w:szCs w:val="20"/>
        </w:rPr>
        <w:t xml:space="preserve"> and</w:t>
      </w:r>
    </w:p>
    <w:p w:rsidR="00C61158" w:rsidRPr="00435813" w:rsidRDefault="00C61158" w:rsidP="00E3458B">
      <w:pPr>
        <w:bidi/>
        <w:spacing w:after="0"/>
        <w:jc w:val="right"/>
        <w:rPr>
          <w:rFonts w:ascii="Tahoma" w:hAnsi="Tahoma" w:cs="Tahoma"/>
          <w:b/>
          <w:bCs/>
          <w:sz w:val="20"/>
          <w:szCs w:val="20"/>
        </w:rPr>
      </w:pPr>
      <w:r w:rsidRPr="00435813">
        <w:rPr>
          <w:rFonts w:ascii="Tahoma" w:hAnsi="Tahoma" w:cs="Tahoma"/>
          <w:sz w:val="20"/>
          <w:szCs w:val="20"/>
        </w:rPr>
        <w:t>Marilyn Gamble, 2002.</w:t>
      </w:r>
      <w:r w:rsidRPr="00435813">
        <w:rPr>
          <w:rFonts w:ascii="Tahoma" w:hAnsi="Tahoma" w:cs="Tahoma"/>
          <w:b/>
          <w:bCs/>
          <w:sz w:val="20"/>
          <w:szCs w:val="20"/>
          <w:rtl/>
        </w:rPr>
        <w:t xml:space="preserve">  </w:t>
      </w:r>
      <w:r w:rsidRPr="00435813">
        <w:rPr>
          <w:rFonts w:ascii="Tahoma" w:hAnsi="Tahoma" w:cs="Tahoma"/>
          <w:b/>
          <w:bCs/>
          <w:sz w:val="20"/>
          <w:szCs w:val="20"/>
        </w:rPr>
        <w:t xml:space="preserve"> </w:t>
      </w:r>
    </w:p>
    <w:p w:rsidR="00C61158" w:rsidRPr="00435813" w:rsidRDefault="00C61158" w:rsidP="00C61158">
      <w:pPr>
        <w:bidi/>
        <w:jc w:val="both"/>
        <w:rPr>
          <w:rFonts w:ascii="Tahoma" w:hAnsi="Tahoma" w:cs="Tahoma" w:hint="cs"/>
          <w:sz w:val="20"/>
          <w:szCs w:val="20"/>
        </w:rPr>
      </w:pPr>
    </w:p>
    <w:p w:rsidR="00C61158" w:rsidRPr="00435813" w:rsidRDefault="00C61158" w:rsidP="00C61158">
      <w:pPr>
        <w:bidi/>
        <w:jc w:val="both"/>
        <w:rPr>
          <w:rFonts w:ascii="Tahoma" w:hAnsi="Tahoma" w:cs="Tahoma"/>
          <w:sz w:val="20"/>
          <w:szCs w:val="20"/>
        </w:rPr>
      </w:pPr>
    </w:p>
    <w:p w:rsidR="00C61158" w:rsidRPr="00435813" w:rsidRDefault="00C61158" w:rsidP="00C61158">
      <w:pPr>
        <w:bidi/>
        <w:jc w:val="both"/>
        <w:rPr>
          <w:rFonts w:ascii="Tahoma" w:hAnsi="Tahoma" w:cs="Tahoma"/>
          <w:b/>
          <w:bCs/>
          <w:sz w:val="20"/>
          <w:szCs w:val="20"/>
        </w:rPr>
      </w:pPr>
    </w:p>
    <w:p w:rsidR="00C61158" w:rsidRPr="00435813" w:rsidRDefault="00C61158" w:rsidP="00C61158">
      <w:pPr>
        <w:bidi/>
        <w:jc w:val="both"/>
        <w:rPr>
          <w:rFonts w:ascii="Tahoma" w:hAnsi="Tahoma" w:cs="Tahoma"/>
          <w:b/>
          <w:bCs/>
          <w:sz w:val="20"/>
          <w:szCs w:val="20"/>
          <w:rtl/>
        </w:rPr>
      </w:pPr>
    </w:p>
    <w:p w:rsidR="00C61158" w:rsidRPr="00435813" w:rsidRDefault="00C61158" w:rsidP="00C61158">
      <w:pPr>
        <w:bidi/>
        <w:jc w:val="both"/>
        <w:rPr>
          <w:rFonts w:ascii="Tahoma" w:hAnsi="Tahoma" w:cs="Tahoma"/>
          <w:b/>
          <w:bCs/>
          <w:sz w:val="20"/>
          <w:szCs w:val="20"/>
          <w:rtl/>
        </w:rPr>
      </w:pPr>
    </w:p>
    <w:p w:rsidR="009F5686" w:rsidRDefault="009F5686" w:rsidP="00C61158"/>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58"/>
    <w:rsid w:val="009F5686"/>
    <w:rsid w:val="00C61158"/>
    <w:rsid w:val="00E34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2013-05-23T00:50:00Z</dcterms:created>
  <dcterms:modified xsi:type="dcterms:W3CDTF">2013-05-23T01:26:00Z</dcterms:modified>
</cp:coreProperties>
</file>