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841FBF">
        <w:rPr>
          <w:rFonts w:cs="AL-Mateen" w:hint="cs"/>
          <w:sz w:val="38"/>
          <w:szCs w:val="38"/>
          <w:rtl/>
        </w:rPr>
        <w:t>أدب5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841FB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أدب5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841FBF" w:rsidP="00841FBF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ARB355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F66603" w:rsidRDefault="00841FB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lang w:bidi="ar-EG"/>
              </w:rPr>
            </w:pPr>
            <w:r w:rsidRPr="00F66603"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841FB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841FBF" w:rsidRPr="00F66603" w:rsidRDefault="00841FBF" w:rsidP="00841FBF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تقديم صورة دقيقة عن حقيقة الإبداع الأدبي في العصر الحديث، ومعرفة الأسباب التي أدت إلى ازدهار الشعر في العصر الحديث.</w:t>
            </w:r>
          </w:p>
          <w:p w:rsidR="00841FBF" w:rsidRPr="00F66603" w:rsidRDefault="00841FBF" w:rsidP="00841FBF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الاطلاع النماذج الإبداعية الرفيعة في هذا الأدب الشعرية والنثرية لأعلام الشعر والكتابة</w:t>
            </w:r>
          </w:p>
          <w:p w:rsidR="00841FBF" w:rsidRPr="00F66603" w:rsidRDefault="00841FBF" w:rsidP="00841FBF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الوقوف على نماذج من أعلام الشعراء وأعلام الكتاب في الأدب الحديث</w:t>
            </w:r>
          </w:p>
          <w:p w:rsidR="00E50C3C" w:rsidRPr="00F66603" w:rsidRDefault="00841FBF" w:rsidP="00841FBF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التعرف على المدارس الأدبية في العصر الحديث وأشهر شعرائها وخصائصها التي تميزت بها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* مقدمة عن المقرر تتناول: تعريف الطلبة بالمقرر الدراسي، وأهدافه، ومفرداته.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مقدمة عن الأدب الحديث: تعريف بمصطلح الأدب الحديث، وحدوده وحالة الأدب في عصر ما قبل النهضة الحديثة.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عوامل النهضة العربية الحديثة:  البعثات، الترجمة، المدارس، الطباعة، الصحافة، الجمعيات العلمية والأدبية، المكتبات، الاستشراق والمستشرقون</w:t>
            </w:r>
          </w:p>
          <w:p w:rsidR="00841FBF" w:rsidRPr="00F66603" w:rsidRDefault="00841FBF" w:rsidP="00F66603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   مدارس الشعر العربي </w:t>
            </w:r>
            <w:proofErr w:type="spellStart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الحديث:المدرسة</w:t>
            </w:r>
            <w:proofErr w:type="spellEnd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الكلاسيكية (الإحياء والبعث) .الكلاسيكية الحديثة (الاتجاه البياني المحافظ). تحديد البدايات، السمات الموضوعية والفنية، أبرز الأعلام.</w:t>
            </w:r>
          </w:p>
          <w:p w:rsidR="00841FBF" w:rsidRPr="00F66603" w:rsidRDefault="00841FBF" w:rsidP="00F66603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2-المدرسة الرومانسية: نشأتها، خصائصها، رائدها، أبرز أعلامها، مظاهر التجديد فيها.</w:t>
            </w:r>
          </w:p>
          <w:p w:rsidR="00841FBF" w:rsidRPr="00F66603" w:rsidRDefault="00841FBF" w:rsidP="00F66603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3- جماعة </w:t>
            </w:r>
            <w:proofErr w:type="spellStart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الديوان:بداياتها</w:t>
            </w:r>
            <w:proofErr w:type="spellEnd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، روادها، خصائصها.</w:t>
            </w:r>
          </w:p>
          <w:p w:rsidR="00841FBF" w:rsidRPr="00F66603" w:rsidRDefault="00841FBF" w:rsidP="00F66603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4- جماعة أبولَو: روادها، العوامل التي هيأت لظهورها، خصائصها، مظاهر التجديد فيها.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5-الأدب في المهاجر الأمريكية والشرقية ( الشمالي، الجنوبي، الشرقي)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تاريخه، جمعياته وروابطه الأدبية، المؤثرات، خصائصه.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6- شعر التفعيلة، حركة الشعر الحر، الشعر المنثور: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نشأته، رواده، خصائصه.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    فنون النثر ال</w:t>
            </w:r>
            <w:bookmarkStart w:id="0" w:name="_GoBack"/>
            <w:bookmarkEnd w:id="0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أدبي في العصر الحديث: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1-</w:t>
            </w: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فن المقالة: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    المفهوم، والتطور، والأنواع، وأبرز الكتَّاب.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فن القصة : المفهوم، التطور، الأنواع، أبرز الأعلام.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3-فن الرواية: المفهوم، النشأة، التطور، أبرز الأعلام.</w:t>
            </w:r>
          </w:p>
          <w:p w:rsidR="00841FBF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               4- فن المسرحية: نشأتها، مراحل التطور، أنواعها، أبرز الأعلام.</w:t>
            </w:r>
          </w:p>
          <w:p w:rsidR="00E50C3C" w:rsidRPr="00F66603" w:rsidRDefault="00841FBF" w:rsidP="00841FBF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5- فن السيرة الذاتية. المفهوم، والنشأة، والتحولات، الأشكال، أبرز الأعلام.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841FBF" w:rsidRPr="00F66603" w:rsidRDefault="00841FBF" w:rsidP="006C0ACB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  <w:p w:rsidR="00841FBF" w:rsidRPr="00F66603" w:rsidRDefault="00841FBF" w:rsidP="00841FBF">
            <w:pPr>
              <w:bidi w:val="0"/>
              <w:jc w:val="right"/>
              <w:rPr>
                <w:rFonts w:ascii="Traditional Arabic" w:hAnsi="Traditional Arabic" w:cs="AL-Mohanad"/>
                <w:sz w:val="24"/>
                <w:szCs w:val="24"/>
              </w:rPr>
            </w:pP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الأدب العربي الحديث (الرؤية والتشكيل)</w:t>
            </w:r>
            <w:r w:rsidRPr="00F66603">
              <w:rPr>
                <w:rFonts w:ascii="Traditional Arabic" w:hAnsi="Traditional Arabic" w:cs="AL-Mohanad"/>
                <w:sz w:val="24"/>
                <w:szCs w:val="24"/>
              </w:rPr>
              <w:tab/>
            </w:r>
            <w:r w:rsidRPr="00F66603">
              <w:rPr>
                <w:rFonts w:ascii="Traditional Arabic" w:hAnsi="Traditional Arabic" w:cs="AL-Mohanad"/>
                <w:sz w:val="24"/>
                <w:szCs w:val="24"/>
              </w:rPr>
              <w:tab/>
            </w:r>
            <w:proofErr w:type="spellStart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أ.د</w:t>
            </w:r>
            <w:proofErr w:type="spellEnd"/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. حسين علي محمد</w:t>
            </w:r>
            <w:r w:rsidRPr="00F66603">
              <w:rPr>
                <w:rFonts w:ascii="Traditional Arabic" w:hAnsi="Traditional Arabic" w:cs="AL-Mohanad"/>
                <w:sz w:val="24"/>
                <w:szCs w:val="24"/>
              </w:rPr>
              <w:tab/>
            </w:r>
            <w:r w:rsidRPr="00F66603">
              <w:rPr>
                <w:rFonts w:ascii="Traditional Arabic" w:hAnsi="Traditional Arabic" w:cs="AL-Mohanad"/>
                <w:sz w:val="24"/>
                <w:szCs w:val="24"/>
              </w:rPr>
              <w:tab/>
            </w: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مكتبة الرشد ناشرون الطبعة الخامسة  </w:t>
            </w:r>
            <w:r w:rsidRPr="00F66603">
              <w:rPr>
                <w:rFonts w:ascii="Traditional Arabic" w:hAnsi="Traditional Arabic" w:cs="AL-Mohanad"/>
                <w:sz w:val="24"/>
                <w:szCs w:val="24"/>
              </w:rPr>
              <w:tab/>
            </w:r>
            <w:r w:rsidRPr="00F66603">
              <w:rPr>
                <w:rFonts w:ascii="Traditional Arabic" w:hAnsi="Traditional Arabic" w:cs="AL-Mohanad"/>
                <w:sz w:val="24"/>
                <w:szCs w:val="24"/>
                <w:rtl/>
              </w:rPr>
              <w:t>1425هـ - 2004م</w:t>
            </w:r>
          </w:p>
          <w:p w:rsidR="00746CF6" w:rsidRPr="00F66603" w:rsidRDefault="00746CF6" w:rsidP="00841FBF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</w:tc>
      </w:tr>
    </w:tbl>
    <w:p w:rsidR="0085712C" w:rsidRPr="00031EB8" w:rsidRDefault="00841FBF" w:rsidP="00841FB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841FBF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7F41AA18" wp14:editId="15276723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37" w:rsidRDefault="00E35837" w:rsidP="00C96875">
      <w:pPr>
        <w:spacing w:after="0" w:line="240" w:lineRule="auto"/>
      </w:pPr>
      <w:r>
        <w:separator/>
      </w:r>
    </w:p>
  </w:endnote>
  <w:endnote w:type="continuationSeparator" w:id="0">
    <w:p w:rsidR="00E35837" w:rsidRDefault="00E3583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37" w:rsidRDefault="00E35837" w:rsidP="00C96875">
      <w:pPr>
        <w:spacing w:after="0" w:line="240" w:lineRule="auto"/>
      </w:pPr>
      <w:r>
        <w:separator/>
      </w:r>
    </w:p>
  </w:footnote>
  <w:footnote w:type="continuationSeparator" w:id="0">
    <w:p w:rsidR="00E35837" w:rsidRDefault="00E3583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3583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358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3583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1FBF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A6988"/>
    <w:rsid w:val="00CC1385"/>
    <w:rsid w:val="00D31C75"/>
    <w:rsid w:val="00E032E8"/>
    <w:rsid w:val="00E110AA"/>
    <w:rsid w:val="00E35837"/>
    <w:rsid w:val="00E50C3C"/>
    <w:rsid w:val="00EB48A0"/>
    <w:rsid w:val="00EE72FF"/>
    <w:rsid w:val="00F23262"/>
    <w:rsid w:val="00F66603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2021-10-06T12:43:00Z</dcterms:modified>
</cp:coreProperties>
</file>