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CA39F3" w:rsidRPr="0062194C" w:rsidRDefault="00CA39F3" w:rsidP="00CA39F3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CA39F3" w:rsidRPr="0062194C" w:rsidRDefault="00CA39F3" w:rsidP="00CA39F3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CA39F3" w:rsidRPr="0062194C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بلاغة 4</w:t>
            </w:r>
          </w:p>
        </w:tc>
      </w:tr>
      <w:tr w:rsidR="00CA39F3" w:rsidRPr="0062194C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ARB342</w:t>
            </w:r>
          </w:p>
        </w:tc>
      </w:tr>
      <w:tr w:rsidR="00CA39F3" w:rsidRPr="0062194C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CA39F3" w:rsidRPr="0062194C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CA39F3" w:rsidRPr="0062194C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CA39F3" w:rsidRPr="0062194C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CA39F3" w:rsidRPr="0062194C" w:rsidRDefault="00CA39F3" w:rsidP="00CA39F3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62194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CA39F3" w:rsidRPr="0062194C" w:rsidRDefault="00CA39F3" w:rsidP="00CA39F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A39F3" w:rsidRPr="0062194C" w:rsidRDefault="00CA39F3" w:rsidP="00CA39F3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62194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CA39F3" w:rsidRPr="0062194C" w:rsidRDefault="00CA39F3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62194C">
            <w:rPr>
              <w:rFonts w:asciiTheme="majorBidi" w:hAnsiTheme="majorBidi" w:cstheme="majorBidi"/>
              <w:lang w:val="ar-SA"/>
            </w:rPr>
            <w:fldChar w:fldCharType="begin"/>
          </w:r>
          <w:r w:rsidRPr="0062194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62194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62194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62194C">
              <w:rPr>
                <w:rFonts w:asciiTheme="majorBidi" w:hAnsiTheme="majorBidi" w:cstheme="majorBidi"/>
                <w:webHidden/>
              </w:rPr>
              <w:tab/>
            </w:r>
            <w:r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Pr="0062194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62194C">
              <w:rPr>
                <w:rFonts w:asciiTheme="majorBidi" w:hAnsiTheme="majorBidi" w:cstheme="majorBidi"/>
                <w:webHidden/>
              </w:rPr>
            </w:r>
            <w:r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62194C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3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4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4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5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5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CA39F3" w:rsidRPr="0062194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CA39F3" w:rsidRPr="0062194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5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440BE8" w:rsidP="00CA39F3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CA39F3" w:rsidRPr="0062194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CA39F3" w:rsidRPr="0062194C">
              <w:rPr>
                <w:rFonts w:asciiTheme="majorBidi" w:hAnsiTheme="majorBidi" w:cstheme="majorBidi"/>
                <w:webHidden/>
              </w:rPr>
              <w:tab/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begin"/>
            </w:r>
            <w:r w:rsidR="00CA39F3" w:rsidRPr="0062194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CA39F3" w:rsidRPr="0062194C">
              <w:rPr>
                <w:rFonts w:asciiTheme="majorBidi" w:hAnsiTheme="majorBidi" w:cstheme="majorBidi"/>
                <w:webHidden/>
              </w:rPr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separate"/>
            </w:r>
            <w:r w:rsidR="00CA39F3" w:rsidRPr="0062194C">
              <w:rPr>
                <w:rFonts w:asciiTheme="majorBidi" w:hAnsiTheme="majorBidi" w:cstheme="majorBidi"/>
                <w:webHidden/>
                <w:rtl/>
              </w:rPr>
              <w:t>5</w:t>
            </w:r>
            <w:r w:rsidR="00CA39F3" w:rsidRPr="0062194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CA39F3" w:rsidRPr="0062194C" w:rsidRDefault="00CA39F3" w:rsidP="00CA39F3">
          <w:pPr>
            <w:bidi/>
            <w:jc w:val="right"/>
            <w:rPr>
              <w:rFonts w:asciiTheme="majorBidi" w:hAnsiTheme="majorBidi" w:cstheme="majorBidi"/>
            </w:rPr>
          </w:pPr>
          <w:r w:rsidRPr="0062194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CA39F3" w:rsidRPr="0062194C" w:rsidRDefault="00CA39F3" w:rsidP="00CA39F3">
      <w:pPr>
        <w:pStyle w:val="1"/>
      </w:pPr>
      <w:r w:rsidRPr="0062194C">
        <w:rPr>
          <w:sz w:val="26"/>
          <w:szCs w:val="26"/>
        </w:rPr>
        <w:br w:type="page"/>
      </w:r>
      <w:bookmarkStart w:id="0" w:name="_Toc526247378"/>
      <w:bookmarkStart w:id="1" w:name="_Toc337784"/>
      <w:r w:rsidRPr="0062194C">
        <w:rPr>
          <w:rtl/>
        </w:rPr>
        <w:lastRenderedPageBreak/>
        <w:t>أ. التعريف بالمقرر الدراسي:</w:t>
      </w:r>
      <w:bookmarkEnd w:id="0"/>
      <w:bookmarkEnd w:id="1"/>
      <w:r w:rsidRPr="0062194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CA39F3" w:rsidRPr="0062194C" w:rsidTr="009B750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6219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CA39F3" w:rsidRPr="0062194C" w:rsidRDefault="00144103" w:rsidP="00144103">
            <w:pPr>
              <w:bidi/>
              <w:ind w:firstLine="72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               ثلاث ساعات</w:t>
            </w:r>
          </w:p>
        </w:tc>
      </w:tr>
      <w:tr w:rsidR="00CA39F3" w:rsidRPr="0062194C" w:rsidTr="009B750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CA39F3" w:rsidRPr="0062194C" w:rsidTr="009B750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62194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62194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F3" w:rsidRPr="0062194C" w:rsidRDefault="0014410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62194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CA39F3" w:rsidRPr="0062194C" w:rsidTr="009B750B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9F3" w:rsidRPr="0062194C" w:rsidRDefault="00144103" w:rsidP="009B750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62194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A39F3" w:rsidRPr="0062194C" w:rsidTr="009B750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A39F3" w:rsidRPr="0062194C" w:rsidRDefault="003B6AE4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الخامس</w:t>
            </w:r>
          </w:p>
        </w:tc>
      </w:tr>
      <w:tr w:rsidR="00CA39F3" w:rsidRPr="0062194C" w:rsidTr="009B75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6219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:rsidR="00CA39F3" w:rsidRPr="0062194C" w:rsidRDefault="00144103" w:rsidP="0014410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بلاغة 3</w:t>
            </w:r>
            <w:r w:rsidRPr="0062194C">
              <w:rPr>
                <w:rFonts w:asciiTheme="majorBidi" w:hAnsiTheme="majorBidi" w:cstheme="majorBidi"/>
                <w:b/>
                <w:bCs/>
              </w:rPr>
              <w:t>ARAB244</w:t>
            </w:r>
          </w:p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A39F3" w:rsidRPr="0062194C" w:rsidTr="009B750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CA39F3" w:rsidRPr="0062194C" w:rsidTr="009B750B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</w:rPr>
            </w:pPr>
          </w:p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CA39F3" w:rsidRPr="0062194C" w:rsidRDefault="00CA39F3" w:rsidP="00CA39F3">
      <w:pPr>
        <w:bidi/>
        <w:rPr>
          <w:rFonts w:asciiTheme="majorBidi" w:hAnsiTheme="majorBidi" w:cstheme="majorBidi"/>
          <w:b/>
          <w:bCs/>
          <w:lang w:bidi="ar-EG"/>
        </w:rPr>
      </w:pPr>
    </w:p>
    <w:p w:rsidR="00CA39F3" w:rsidRPr="0062194C" w:rsidRDefault="00CA39F3" w:rsidP="00CA39F3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62194C">
        <w:rPr>
          <w:rFonts w:asciiTheme="majorBidi" w:hAnsiTheme="majorBidi" w:cstheme="majorBidi"/>
          <w:sz w:val="26"/>
          <w:szCs w:val="26"/>
          <w:rtl/>
        </w:rPr>
        <w:t>6</w:t>
      </w:r>
      <w:r w:rsidRPr="0062194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62194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CA39F3" w:rsidRPr="0062194C" w:rsidTr="009B750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CA39F3" w:rsidRPr="0062194C" w:rsidTr="009B750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A39F3" w:rsidRPr="0062194C" w:rsidRDefault="00DF638E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CA39F3" w:rsidRPr="0062194C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A39F3" w:rsidRPr="0062194C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A39F3" w:rsidRPr="0062194C" w:rsidRDefault="00DF638E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CA39F3" w:rsidRPr="0062194C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A39F3" w:rsidRPr="0062194C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A39F3" w:rsidRPr="0062194C" w:rsidRDefault="00DF638E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CA39F3" w:rsidRPr="0062194C" w:rsidRDefault="00CA39F3" w:rsidP="00CA39F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CA39F3" w:rsidRPr="0062194C" w:rsidRDefault="00CA39F3" w:rsidP="00CA39F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62194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62194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CA39F3" w:rsidRPr="0062194C" w:rsidTr="009B750B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CA39F3" w:rsidRPr="0062194C" w:rsidTr="009B750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CA39F3" w:rsidRPr="0062194C" w:rsidRDefault="00DF638E" w:rsidP="00DF638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42</w:t>
            </w:r>
          </w:p>
        </w:tc>
      </w:tr>
      <w:tr w:rsidR="00CA39F3" w:rsidRPr="0062194C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62194C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A39F3" w:rsidRPr="0062194C" w:rsidRDefault="00DF638E" w:rsidP="00DF638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CA39F3" w:rsidRPr="0062194C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A39F3" w:rsidRPr="0062194C" w:rsidRDefault="00DF638E" w:rsidP="00DF638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CA39F3" w:rsidRPr="0062194C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A39F3" w:rsidRPr="0062194C" w:rsidRDefault="00DF638E" w:rsidP="00DF638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CA39F3" w:rsidRPr="0062194C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A39F3" w:rsidRPr="0062194C" w:rsidRDefault="00DF638E" w:rsidP="00DF638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rtl/>
                <w:lang w:bidi="ar-EG"/>
              </w:rPr>
              <w:t>42</w:t>
            </w:r>
          </w:p>
        </w:tc>
      </w:tr>
    </w:tbl>
    <w:p w:rsidR="00CA39F3" w:rsidRPr="0062194C" w:rsidRDefault="00CA39F3" w:rsidP="00CA39F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CA39F3" w:rsidRPr="0062194C" w:rsidRDefault="00CA39F3" w:rsidP="00CA39F3">
      <w:pPr>
        <w:pStyle w:val="1"/>
      </w:pPr>
      <w:bookmarkStart w:id="5" w:name="_Toc526247379"/>
      <w:bookmarkStart w:id="6" w:name="_Toc337785"/>
      <w:bookmarkEnd w:id="4"/>
      <w:proofErr w:type="gramStart"/>
      <w:r w:rsidRPr="0062194C">
        <w:rPr>
          <w:rtl/>
        </w:rPr>
        <w:t>ب- هدف</w:t>
      </w:r>
      <w:proofErr w:type="gramEnd"/>
      <w:r w:rsidRPr="0062194C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A39F3" w:rsidRPr="0062194C" w:rsidTr="009B75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39F3" w:rsidRPr="0062194C" w:rsidRDefault="00CA39F3" w:rsidP="009B750B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62194C">
              <w:rPr>
                <w:rtl/>
              </w:rPr>
              <w:t xml:space="preserve">1. </w:t>
            </w:r>
            <w:r w:rsidRPr="0062194C">
              <w:rPr>
                <w:rtl/>
                <w:lang w:bidi="ar-EG"/>
              </w:rPr>
              <w:t>ال</w:t>
            </w:r>
            <w:r w:rsidRPr="0062194C">
              <w:rPr>
                <w:rtl/>
              </w:rPr>
              <w:t>وصف العام للمقرر:</w:t>
            </w:r>
            <w:bookmarkEnd w:id="7"/>
          </w:p>
          <w:p w:rsidR="00CA39F3" w:rsidRPr="00B95613" w:rsidRDefault="009E5205" w:rsidP="0062194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color w:val="000000"/>
                <w:rtl/>
                <w:lang w:bidi="ar-JO"/>
              </w:rPr>
              <w:t>ي</w:t>
            </w:r>
            <w:r w:rsidRPr="00B95613"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عرض</w:t>
            </w:r>
            <w:r w:rsidRPr="00B95613">
              <w:rPr>
                <w:rFonts w:asciiTheme="majorBidi" w:hAnsiTheme="majorBidi" w:cstheme="majorBidi"/>
                <w:color w:val="000000"/>
                <w:rtl/>
                <w:lang w:bidi="ar-JO"/>
              </w:rPr>
              <w:t xml:space="preserve"> المقرر</w:t>
            </w:r>
            <w:r w:rsidR="00DF638E" w:rsidRPr="00B95613">
              <w:rPr>
                <w:rFonts w:asciiTheme="majorBidi" w:hAnsiTheme="majorBidi" w:cstheme="majorBidi"/>
                <w:color w:val="000000"/>
                <w:rtl/>
                <w:lang w:bidi="ar-JO"/>
              </w:rPr>
              <w:t xml:space="preserve"> علم البيان من حيث </w:t>
            </w:r>
            <w:r w:rsidRPr="00B95613">
              <w:rPr>
                <w:rFonts w:asciiTheme="majorBidi" w:hAnsiTheme="majorBidi" w:cstheme="majorBidi"/>
                <w:color w:val="000000"/>
                <w:rtl/>
                <w:lang w:bidi="ar-EG"/>
              </w:rPr>
              <w:t>تعريفه،</w:t>
            </w:r>
            <w:r w:rsidR="00DF638E" w:rsidRPr="00B95613">
              <w:rPr>
                <w:rFonts w:asciiTheme="majorBidi" w:hAnsiTheme="majorBidi" w:cstheme="majorBidi"/>
                <w:color w:val="000000"/>
                <w:rtl/>
                <w:lang w:bidi="ar-EG"/>
              </w:rPr>
              <w:t xml:space="preserve"> مباحثه، منزلته، جهود العلماء فيه، كما يتناول التشبيه من ناحية تعريفه، أركانه، أدواته، أقسامه،</w:t>
            </w:r>
            <w:r w:rsidR="00DF638E" w:rsidRPr="00B95613">
              <w:rPr>
                <w:rFonts w:asciiTheme="majorBidi" w:hAnsiTheme="majorBidi" w:cstheme="majorBidi"/>
                <w:color w:val="000000"/>
                <w:rtl/>
              </w:rPr>
              <w:t xml:space="preserve"> والتعريف بالمجاز اللغوي وأنواعه والمجاز المرسل وعلاقاته، والاستعارة</w:t>
            </w:r>
            <w:r w:rsidR="00DF638E" w:rsidRPr="00B95613">
              <w:rPr>
                <w:rFonts w:asciiTheme="majorBidi" w:hAnsiTheme="majorBidi" w:cstheme="majorBidi"/>
                <w:color w:val="000000"/>
                <w:rtl/>
                <w:lang w:bidi="ar-EG"/>
              </w:rPr>
              <w:t xml:space="preserve"> وأقسامها، </w:t>
            </w:r>
            <w:r w:rsidR="00DF638E" w:rsidRPr="00B95613">
              <w:rPr>
                <w:rFonts w:asciiTheme="majorBidi" w:hAnsiTheme="majorBidi" w:cstheme="majorBidi"/>
                <w:color w:val="000000"/>
                <w:rtl/>
              </w:rPr>
              <w:t>والكناية تعريفها وأقسامها وبلاغتها والفرق بينها وبين التعريض.</w:t>
            </w:r>
          </w:p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CA39F3" w:rsidRPr="0062194C" w:rsidTr="009B75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39F3" w:rsidRPr="0062194C" w:rsidRDefault="00CA39F3" w:rsidP="009B750B">
            <w:pPr>
              <w:pStyle w:val="2"/>
              <w:outlineLvl w:val="1"/>
            </w:pPr>
            <w:bookmarkStart w:id="8" w:name="_Toc526247380"/>
            <w:bookmarkStart w:id="9" w:name="_Toc337787"/>
            <w:r w:rsidRPr="0062194C">
              <w:rPr>
                <w:rtl/>
              </w:rPr>
              <w:t xml:space="preserve">2. </w:t>
            </w:r>
            <w:bookmarkEnd w:id="8"/>
            <w:r w:rsidRPr="0062194C">
              <w:rPr>
                <w:rtl/>
              </w:rPr>
              <w:t>الهدف الرئيس للمقرر</w:t>
            </w:r>
            <w:bookmarkEnd w:id="9"/>
            <w:r w:rsidRPr="0062194C">
              <w:rPr>
                <w:rtl/>
              </w:rPr>
              <w:t xml:space="preserve"> </w:t>
            </w:r>
          </w:p>
        </w:tc>
      </w:tr>
      <w:tr w:rsidR="00CA39F3" w:rsidRPr="0062194C" w:rsidTr="009B750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38E" w:rsidRPr="00B95613" w:rsidRDefault="00DF638E" w:rsidP="00DF638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Pr="00B95613">
              <w:rPr>
                <w:rFonts w:asciiTheme="majorBidi" w:hAnsiTheme="majorBidi" w:cstheme="majorBidi"/>
                <w:rtl/>
              </w:rPr>
              <w:t xml:space="preserve"> </w:t>
            </w:r>
            <w:r w:rsidR="009E5205" w:rsidRPr="00B95613">
              <w:rPr>
                <w:rFonts w:asciiTheme="majorBidi" w:hAnsiTheme="majorBidi" w:cstheme="majorBidi" w:hint="cs"/>
                <w:rtl/>
              </w:rPr>
              <w:t xml:space="preserve">أن </w:t>
            </w:r>
            <w:r w:rsidRPr="00B95613">
              <w:rPr>
                <w:rFonts w:asciiTheme="majorBidi" w:hAnsiTheme="majorBidi" w:cstheme="majorBidi"/>
                <w:rtl/>
              </w:rPr>
              <w:t>يعرف</w:t>
            </w:r>
            <w:r w:rsidR="009E5205" w:rsidRPr="00B95613">
              <w:rPr>
                <w:rFonts w:asciiTheme="majorBidi" w:hAnsiTheme="majorBidi" w:cstheme="majorBidi" w:hint="cs"/>
                <w:rtl/>
              </w:rPr>
              <w:t xml:space="preserve"> الطالب</w:t>
            </w:r>
            <w:r w:rsidRPr="00B95613">
              <w:rPr>
                <w:rFonts w:asciiTheme="majorBidi" w:hAnsiTheme="majorBidi" w:cstheme="majorBidi"/>
                <w:rtl/>
              </w:rPr>
              <w:t xml:space="preserve"> فنون علم البيان المختلفة وكيفية إيراد المعنى في طرق مختلفة تتناسب مع مقتضيات الأحوال. </w:t>
            </w:r>
          </w:p>
          <w:p w:rsidR="00DF638E" w:rsidRPr="00B95613" w:rsidRDefault="00DF638E" w:rsidP="00DF638E">
            <w:pPr>
              <w:jc w:val="right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 xml:space="preserve">- </w:t>
            </w:r>
            <w:r w:rsidR="009E5205" w:rsidRPr="00B95613">
              <w:rPr>
                <w:rFonts w:asciiTheme="majorBidi" w:hAnsiTheme="majorBidi" w:cstheme="majorBidi" w:hint="cs"/>
                <w:rtl/>
              </w:rPr>
              <w:t xml:space="preserve">أن </w:t>
            </w:r>
            <w:r w:rsidRPr="00B95613">
              <w:rPr>
                <w:rFonts w:asciiTheme="majorBidi" w:hAnsiTheme="majorBidi" w:cstheme="majorBidi"/>
                <w:rtl/>
              </w:rPr>
              <w:t>يوضح الاتجاهات النظرية العامة والمناهج التطبيقية التي عرفها البلاغيون العرب المتقدمون.</w:t>
            </w:r>
          </w:p>
          <w:p w:rsidR="00DF638E" w:rsidRPr="00B95613" w:rsidRDefault="00DF638E" w:rsidP="00DF638E">
            <w:pPr>
              <w:keepNext/>
              <w:jc w:val="right"/>
              <w:outlineLvl w:val="1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</w:t>
            </w:r>
            <w:r w:rsidR="009E5205" w:rsidRPr="00B95613">
              <w:rPr>
                <w:rFonts w:asciiTheme="majorBidi" w:hAnsiTheme="majorBidi" w:cstheme="majorBidi" w:hint="cs"/>
                <w:rtl/>
              </w:rPr>
              <w:t>أن</w:t>
            </w:r>
            <w:r w:rsidRPr="00B95613">
              <w:rPr>
                <w:rFonts w:asciiTheme="majorBidi" w:hAnsiTheme="majorBidi" w:cstheme="majorBidi"/>
                <w:rtl/>
              </w:rPr>
              <w:t xml:space="preserve"> يستنبط أسرار الجمال من النصوص المختلفة.  </w:t>
            </w:r>
          </w:p>
          <w:p w:rsidR="00DF638E" w:rsidRPr="00B95613" w:rsidRDefault="00DF638E" w:rsidP="00DF638E">
            <w:pPr>
              <w:keepNext/>
              <w:jc w:val="right"/>
              <w:outlineLvl w:val="1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</w:t>
            </w:r>
            <w:r w:rsidR="009E5205" w:rsidRPr="00B95613">
              <w:rPr>
                <w:rFonts w:asciiTheme="majorBidi" w:hAnsiTheme="majorBidi" w:cstheme="majorBidi" w:hint="cs"/>
                <w:rtl/>
              </w:rPr>
              <w:t xml:space="preserve">أن </w:t>
            </w:r>
            <w:r w:rsidRPr="00B95613">
              <w:rPr>
                <w:rFonts w:asciiTheme="majorBidi" w:hAnsiTheme="majorBidi" w:cstheme="majorBidi"/>
                <w:rtl/>
              </w:rPr>
              <w:t xml:space="preserve">يتدرب على الاستقصاء والتحليل والموازنة بين الموضوعات. </w:t>
            </w:r>
          </w:p>
          <w:p w:rsidR="00CA39F3" w:rsidRPr="00B95613" w:rsidRDefault="00DF638E" w:rsidP="00DF638E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</w:t>
            </w:r>
            <w:r w:rsidR="009E5205" w:rsidRPr="00B95613">
              <w:rPr>
                <w:rFonts w:asciiTheme="majorBidi" w:hAnsiTheme="majorBidi" w:cstheme="majorBidi" w:hint="cs"/>
                <w:rtl/>
              </w:rPr>
              <w:t xml:space="preserve">أن </w:t>
            </w:r>
            <w:r w:rsidRPr="00B95613">
              <w:rPr>
                <w:rFonts w:asciiTheme="majorBidi" w:hAnsiTheme="majorBidi" w:cstheme="majorBidi"/>
                <w:rtl/>
              </w:rPr>
              <w:t>يوظف استخدام تقنية المعلومات والاتصالات المناسبة لجمع وتحليل المعلومات.</w:t>
            </w:r>
          </w:p>
          <w:p w:rsidR="00CA39F3" w:rsidRPr="0062194C" w:rsidRDefault="00CA39F3" w:rsidP="009B750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CA39F3" w:rsidRPr="0062194C" w:rsidRDefault="00CA39F3" w:rsidP="00CA39F3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 w:rsidRPr="0062194C">
        <w:rPr>
          <w:rtl/>
        </w:rPr>
        <w:t>3. مخرجات التعلم للمقرر:</w:t>
      </w:r>
      <w:bookmarkEnd w:id="10"/>
      <w:bookmarkEnd w:id="11"/>
    </w:p>
    <w:p w:rsidR="00DF638E" w:rsidRPr="0062194C" w:rsidRDefault="00DF638E" w:rsidP="00DF638E">
      <w:pPr>
        <w:rPr>
          <w:rFonts w:asciiTheme="majorBidi" w:hAnsiTheme="majorBidi" w:cstheme="majorBidi"/>
          <w:rtl/>
        </w:rPr>
      </w:pPr>
    </w:p>
    <w:tbl>
      <w:tblPr>
        <w:tblStyle w:val="a6"/>
        <w:bidiVisual/>
        <w:tblW w:w="9571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F638E" w:rsidRPr="0062194C" w:rsidTr="00DF638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رمز </w:t>
            </w:r>
          </w:p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مخرج التعلم المرتبط للبرنامج</w:t>
            </w:r>
            <w:r w:rsidRPr="0062194C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</w:tr>
      <w:tr w:rsidR="00DF638E" w:rsidRPr="0062194C" w:rsidTr="00DF63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F638E" w:rsidRPr="0062194C" w:rsidRDefault="00DF638E" w:rsidP="00DF638E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</w:p>
        </w:tc>
      </w:tr>
      <w:tr w:rsidR="00DF638E" w:rsidRPr="0062194C" w:rsidTr="009B75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F638E" w:rsidRPr="00B95613" w:rsidRDefault="00DF638E" w:rsidP="00DF638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معرفة مفهوم علم البيان والتشبيه وأقسامه وبلاغته.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ع2</w:t>
            </w:r>
          </w:p>
        </w:tc>
      </w:tr>
      <w:tr w:rsidR="00DF638E" w:rsidRPr="0062194C" w:rsidTr="009B75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F638E" w:rsidRPr="00B95613" w:rsidRDefault="00DF638E" w:rsidP="00DF638E">
            <w:pPr>
              <w:jc w:val="right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تذكر حقيقة الاستعارة وأنواعها، والكناية واقسامها وسر بلاغتها.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ع2</w:t>
            </w:r>
          </w:p>
        </w:tc>
      </w:tr>
      <w:tr w:rsidR="00DF638E" w:rsidRPr="0062194C" w:rsidTr="00DF63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F638E" w:rsidRPr="0062194C" w:rsidRDefault="00DF638E" w:rsidP="00DF638E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</w:p>
        </w:tc>
      </w:tr>
      <w:tr w:rsidR="00DF638E" w:rsidRPr="0062194C" w:rsidTr="009B75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F638E" w:rsidRPr="00B95613" w:rsidRDefault="00DF638E" w:rsidP="00DF638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استخراج أسرار الجمال في النص الأدبي من خلال مباحث علم البيان.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DF638E" w:rsidRPr="0062194C" w:rsidTr="009B75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F638E" w:rsidRPr="00B95613" w:rsidRDefault="00DF638E" w:rsidP="00DF638E">
            <w:pPr>
              <w:jc w:val="right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الاستدلال على إعجاز القرآن الكريم من الوجهة البيانية.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DF638E" w:rsidRPr="0062194C" w:rsidTr="00DF63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F638E" w:rsidRPr="0062194C" w:rsidRDefault="00DF638E" w:rsidP="00DF638E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F638E" w:rsidRPr="0062194C" w:rsidRDefault="00DF638E" w:rsidP="009B750B">
            <w:pPr>
              <w:rPr>
                <w:rFonts w:asciiTheme="majorBidi" w:hAnsiTheme="majorBidi" w:cstheme="majorBidi"/>
              </w:rPr>
            </w:pPr>
          </w:p>
        </w:tc>
      </w:tr>
      <w:tr w:rsidR="00DF638E" w:rsidRPr="0062194C" w:rsidTr="009B75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638E" w:rsidRPr="0062194C" w:rsidRDefault="00DF638E" w:rsidP="009B750B">
            <w:pPr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F638E" w:rsidRPr="0062194C" w:rsidRDefault="00B95613" w:rsidP="00B95613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rtl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638E" w:rsidRPr="0062194C" w:rsidRDefault="00B95613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</w:tbl>
    <w:p w:rsidR="00DF638E" w:rsidRPr="0062194C" w:rsidRDefault="00DF638E" w:rsidP="00DF638E">
      <w:pPr>
        <w:jc w:val="right"/>
        <w:rPr>
          <w:rFonts w:asciiTheme="majorBidi" w:hAnsiTheme="majorBidi" w:cstheme="majorBidi"/>
          <w:rtl/>
        </w:rPr>
      </w:pPr>
    </w:p>
    <w:p w:rsidR="00DF638E" w:rsidRPr="0062194C" w:rsidRDefault="00DF638E" w:rsidP="00DF638E">
      <w:pPr>
        <w:rPr>
          <w:rFonts w:asciiTheme="majorBidi" w:hAnsiTheme="majorBidi" w:cstheme="majorBidi"/>
        </w:rPr>
      </w:pPr>
    </w:p>
    <w:bookmarkEnd w:id="12"/>
    <w:p w:rsidR="00CA39F3" w:rsidRPr="0062194C" w:rsidRDefault="00CA39F3" w:rsidP="00CA39F3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CA39F3" w:rsidRPr="0062194C" w:rsidRDefault="00CA39F3" w:rsidP="00CA39F3">
      <w:pPr>
        <w:pStyle w:val="1"/>
        <w:rPr>
          <w:rtl/>
        </w:rPr>
      </w:pPr>
      <w:bookmarkStart w:id="13" w:name="_Toc526247383"/>
      <w:bookmarkStart w:id="14" w:name="_Toc337789"/>
      <w:r w:rsidRPr="0062194C">
        <w:rPr>
          <w:rtl/>
        </w:rPr>
        <w:t>ج. موضوعات المقرر</w:t>
      </w:r>
      <w:bookmarkEnd w:id="13"/>
      <w:bookmarkEnd w:id="14"/>
      <w:r w:rsidRPr="0062194C">
        <w:rPr>
          <w:sz w:val="20"/>
          <w:szCs w:val="20"/>
          <w:rtl/>
        </w:rPr>
        <w:t xml:space="preserve"> </w:t>
      </w:r>
    </w:p>
    <w:p w:rsidR="00DF638E" w:rsidRPr="0062194C" w:rsidRDefault="00DF638E" w:rsidP="00DF638E">
      <w:pPr>
        <w:rPr>
          <w:rFonts w:asciiTheme="majorBidi" w:hAnsiTheme="majorBidi" w:cstheme="majorBidi"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F638E" w:rsidRPr="0062194C" w:rsidTr="00DF638E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التعريف بالمقرر، نبذة عن نشأة علم البيان.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  <w:lang w:bidi="ar-EG"/>
              </w:rPr>
            </w:pPr>
            <w:r w:rsidRPr="00B95613">
              <w:rPr>
                <w:rFonts w:asciiTheme="majorBidi" w:hAnsiTheme="majorBidi" w:cstheme="majorBidi"/>
                <w:b/>
                <w:rtl/>
                <w:lang w:bidi="ar-EG"/>
              </w:rPr>
              <w:t>التشبيه: تعريفه وأركانه، طرفا التشبيه، أداة التشبيه.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  <w:lang w:bidi="ar-EG"/>
              </w:rPr>
            </w:pPr>
            <w:r w:rsidRPr="00B95613">
              <w:rPr>
                <w:rFonts w:asciiTheme="majorBidi" w:hAnsiTheme="majorBidi" w:cstheme="majorBidi"/>
                <w:b/>
                <w:rtl/>
                <w:lang w:bidi="ar-EG"/>
              </w:rPr>
              <w:t>أقسام التشبيه باعتبار الطرفين.  أقسامه باعتبار الأداة.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أقسام التشبيه باعتبار وجه الشبه. التشبيه المقلوب.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trHeight w:val="70"/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 xml:space="preserve">التشبيه الضمني. أغراض </w:t>
            </w:r>
            <w:proofErr w:type="gramStart"/>
            <w:r w:rsidRPr="00B95613">
              <w:rPr>
                <w:rFonts w:asciiTheme="majorBidi" w:hAnsiTheme="majorBidi" w:cstheme="majorBidi"/>
                <w:b/>
                <w:rtl/>
              </w:rPr>
              <w:t>التشبيه .</w:t>
            </w:r>
            <w:proofErr w:type="gramEnd"/>
            <w:r w:rsidRPr="00B95613">
              <w:rPr>
                <w:rFonts w:asciiTheme="majorBidi" w:hAnsiTheme="majorBidi" w:cstheme="majorBidi"/>
                <w:b/>
                <w:rtl/>
              </w:rPr>
              <w:t xml:space="preserve"> محاسن التشبيه وعيوبه.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trHeight w:val="369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المجاز العقلي وعلاقاته وبلاغته.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المجاز المرسل وعلاقاته وبلاغته.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الاستعارة: تعريفها، أقسامها (التصريحية – المكنية، الأصلية – التبعية)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أقسام الاستعارة باعتبار الملائم ومقتضيات السياق.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الاستعارة التمثيلية وبلاغتها.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مكانة الاستعارة من البلاغة.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الكناية وتعريفها وأقسامها.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بين الكناية والتعريض.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9B750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38E" w:rsidRPr="00B95613" w:rsidRDefault="00DF638E" w:rsidP="00145E96">
            <w:pPr>
              <w:jc w:val="right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بلاغة الكناية ومقاماتها.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38E" w:rsidRPr="00B95613" w:rsidRDefault="00DF638E" w:rsidP="009B750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5613">
              <w:rPr>
                <w:rFonts w:asciiTheme="majorBidi" w:hAnsiTheme="majorBidi" w:cstheme="majorBidi"/>
                <w:b/>
                <w:rtl/>
              </w:rPr>
              <w:t>3</w:t>
            </w:r>
          </w:p>
        </w:tc>
      </w:tr>
      <w:tr w:rsidR="00DF638E" w:rsidRPr="0062194C" w:rsidTr="00145E96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F638E" w:rsidRPr="0062194C" w:rsidRDefault="00DF638E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42</w:t>
            </w:r>
          </w:p>
        </w:tc>
      </w:tr>
    </w:tbl>
    <w:p w:rsidR="00CA39F3" w:rsidRPr="0062194C" w:rsidRDefault="00CA39F3" w:rsidP="00CA39F3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CA39F3" w:rsidRPr="0062194C" w:rsidRDefault="00CA39F3" w:rsidP="00CA39F3">
      <w:pPr>
        <w:pStyle w:val="1"/>
      </w:pPr>
      <w:bookmarkStart w:id="15" w:name="_Toc526247384"/>
      <w:bookmarkStart w:id="16" w:name="_Toc337790"/>
      <w:r w:rsidRPr="0062194C">
        <w:rPr>
          <w:rtl/>
        </w:rPr>
        <w:t>د. التدريس والتقييم:</w:t>
      </w:r>
      <w:bookmarkEnd w:id="15"/>
      <w:bookmarkEnd w:id="16"/>
    </w:p>
    <w:p w:rsidR="00CA39F3" w:rsidRPr="0062194C" w:rsidRDefault="00CA39F3" w:rsidP="00CA39F3">
      <w:pPr>
        <w:pStyle w:val="2"/>
      </w:pPr>
      <w:bookmarkStart w:id="17" w:name="_Toc526247386"/>
      <w:bookmarkStart w:id="18" w:name="_Toc337791"/>
      <w:r w:rsidRPr="0062194C">
        <w:rPr>
          <w:rtl/>
          <w:lang w:bidi="ar-EG"/>
        </w:rPr>
        <w:t xml:space="preserve">1. </w:t>
      </w:r>
      <w:r w:rsidRPr="0062194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62194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145E96" w:rsidRPr="0062194C" w:rsidTr="00145E96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145E96" w:rsidRPr="0062194C" w:rsidTr="00145E9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5E96" w:rsidRPr="0062194C" w:rsidRDefault="0062194C" w:rsidP="00145E96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المعرفة و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145E96" w:rsidRPr="0062194C">
              <w:rPr>
                <w:rFonts w:asciiTheme="majorBidi" w:hAnsiTheme="majorBidi" w:cstheme="majorBidi"/>
                <w:b/>
                <w:bCs/>
                <w:rtl/>
              </w:rPr>
              <w:t>فهم</w:t>
            </w:r>
          </w:p>
        </w:tc>
      </w:tr>
      <w:tr w:rsidR="00145E96" w:rsidRPr="0062194C" w:rsidTr="009B750B">
        <w:trPr>
          <w:trHeight w:val="987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5E96" w:rsidRPr="00B95613" w:rsidRDefault="00145E96" w:rsidP="00145E96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معرفة مفهوم علم البيان والتشبيه وأقسامه وبلاغته.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 الحوار والمناقشة</w:t>
            </w:r>
          </w:p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-العصف الذهني.</w:t>
            </w:r>
          </w:p>
          <w:p w:rsidR="00145E96" w:rsidRPr="00B95613" w:rsidRDefault="00145E96" w:rsidP="009B750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-الاختبارات الشفوية والتحريرية.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-الواجبات.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-البحوث العلمية.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-المتابعة والملاحظة.</w:t>
            </w:r>
          </w:p>
        </w:tc>
      </w:tr>
      <w:tr w:rsidR="00145E96" w:rsidRPr="0062194C" w:rsidTr="009B750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5E96" w:rsidRPr="00B95613" w:rsidRDefault="00145E96" w:rsidP="00145E96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تذكر حقيقة الاستعارة وأنواعها، والكناية واقسامها وسر بلاغتها.</w:t>
            </w:r>
          </w:p>
        </w:tc>
        <w:tc>
          <w:tcPr>
            <w:tcW w:w="2437" w:type="dxa"/>
            <w:vMerge/>
            <w:vAlign w:val="center"/>
          </w:tcPr>
          <w:p w:rsidR="00145E96" w:rsidRPr="00B95613" w:rsidRDefault="00145E96" w:rsidP="009B750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145E96" w:rsidRPr="00B95613" w:rsidRDefault="00145E96" w:rsidP="009B750B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45E96" w:rsidRPr="0062194C" w:rsidTr="00145E9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145E96" w:rsidRPr="0062194C" w:rsidTr="009B750B">
        <w:trPr>
          <w:trHeight w:val="721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5E96" w:rsidRPr="00B95613" w:rsidRDefault="00145E96" w:rsidP="00145E96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استخراج أسرار الجمال في النص الأدبي من خلال مباحث علم البيان.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 الحوار والمناقشة</w:t>
            </w:r>
          </w:p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145E96" w:rsidRPr="00B95613" w:rsidRDefault="00145E96" w:rsidP="009B750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-العصف الذهني.</w:t>
            </w:r>
          </w:p>
          <w:p w:rsidR="00145E96" w:rsidRPr="00B95613" w:rsidRDefault="00145E96" w:rsidP="009B750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-الاختبارات الشفوية والتحريرية.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-الواجبات.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-البحوث العلمية.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-المتابعة والملاحظة.</w:t>
            </w:r>
          </w:p>
        </w:tc>
      </w:tr>
      <w:tr w:rsidR="00145E96" w:rsidRPr="0062194C" w:rsidTr="009B750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5E96" w:rsidRPr="00B95613" w:rsidRDefault="00145E96" w:rsidP="00145E96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الاستدلال على إعجاز القرآن الكريم من الوجهة البيانية.</w:t>
            </w:r>
          </w:p>
        </w:tc>
        <w:tc>
          <w:tcPr>
            <w:tcW w:w="2437" w:type="dxa"/>
            <w:vMerge/>
            <w:vAlign w:val="center"/>
          </w:tcPr>
          <w:p w:rsidR="00145E96" w:rsidRPr="00B95613" w:rsidRDefault="00145E96" w:rsidP="009B750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145E96" w:rsidRPr="00B95613" w:rsidRDefault="00145E96" w:rsidP="009B750B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45E96" w:rsidRPr="0062194C" w:rsidTr="00145E9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19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145E96" w:rsidRPr="0062194C" w:rsidTr="009B750B">
        <w:trPr>
          <w:trHeight w:val="1656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145E96" w:rsidRPr="0062194C" w:rsidRDefault="00B95613" w:rsidP="00B95613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إظهار الثقة بالنفس والقدرة على القيادة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B95613" w:rsidRPr="00B95613" w:rsidRDefault="00B95613" w:rsidP="00B95613">
            <w:pPr>
              <w:outlineLvl w:val="6"/>
              <w:rPr>
                <w:rFonts w:asciiTheme="majorBidi" w:hAnsiTheme="majorBidi" w:cstheme="majorBidi"/>
                <w:rtl/>
              </w:rPr>
            </w:pPr>
          </w:p>
          <w:p w:rsidR="00B95613" w:rsidRPr="00B95613" w:rsidRDefault="00B95613" w:rsidP="00B95613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 الحوار والمناقشة</w:t>
            </w:r>
          </w:p>
          <w:p w:rsidR="00B95613" w:rsidRPr="00B95613" w:rsidRDefault="00B95613" w:rsidP="00B95613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145E96" w:rsidRPr="00B95613" w:rsidRDefault="00B95613" w:rsidP="00B95613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-العصف الذهني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-فحص العروض التقدمية.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-البحوث العلمية.</w:t>
            </w:r>
          </w:p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</w:tbl>
    <w:p w:rsidR="00145E96" w:rsidRPr="0062194C" w:rsidRDefault="00145E96" w:rsidP="00CA39F3">
      <w:pPr>
        <w:pStyle w:val="2"/>
        <w:rPr>
          <w:rtl/>
        </w:rPr>
      </w:pPr>
    </w:p>
    <w:p w:rsidR="00145E96" w:rsidRPr="0062194C" w:rsidRDefault="00145E96" w:rsidP="00CA39F3">
      <w:pPr>
        <w:pStyle w:val="2"/>
        <w:rPr>
          <w:rtl/>
        </w:rPr>
      </w:pPr>
    </w:p>
    <w:p w:rsidR="00CA39F3" w:rsidRPr="0062194C" w:rsidRDefault="00CA39F3" w:rsidP="00CA39F3">
      <w:pPr>
        <w:pStyle w:val="2"/>
        <w:rPr>
          <w:rtl/>
          <w:lang w:bidi="ar-EG"/>
        </w:rPr>
      </w:pPr>
      <w:r w:rsidRPr="0062194C">
        <w:rPr>
          <w:rtl/>
        </w:rPr>
        <w:t>2. أنشطة تقييم الطلبة</w:t>
      </w:r>
      <w:bookmarkEnd w:id="19"/>
      <w:r w:rsidRPr="0062194C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145E96" w:rsidRPr="0062194C" w:rsidTr="00145E96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145E96" w:rsidRPr="0062194C" w:rsidTr="009B750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المشاركة          </w:t>
            </w:r>
            <w:proofErr w:type="gramStart"/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62194C">
              <w:rPr>
                <w:rFonts w:asciiTheme="majorBidi" w:hAnsiTheme="majorBidi" w:cstheme="majorBidi"/>
                <w:b/>
                <w:bCs/>
                <w:rtl/>
              </w:rPr>
              <w:t>فردي،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145E96" w:rsidRPr="00B95613" w:rsidRDefault="00145E96" w:rsidP="009B750B">
            <w:pPr>
              <w:ind w:firstLine="720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145E96" w:rsidRPr="0062194C" w:rsidTr="009B75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بحث  </w:t>
            </w:r>
            <w:r w:rsidRPr="0062194C">
              <w:rPr>
                <w:rFonts w:asciiTheme="majorBidi" w:hAnsiTheme="majorBidi" w:cstheme="majorBidi"/>
                <w:rtl/>
              </w:rPr>
              <w:t xml:space="preserve">                   </w:t>
            </w:r>
            <w:proofErr w:type="gramStart"/>
            <w:r w:rsidRPr="0062194C">
              <w:rPr>
                <w:rFonts w:asciiTheme="majorBidi" w:hAnsiTheme="majorBidi" w:cstheme="majorBidi"/>
                <w:rtl/>
              </w:rPr>
              <w:t xml:space="preserve">   </w:t>
            </w:r>
            <w:r w:rsidRPr="0062194C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proofErr w:type="gramEnd"/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145E96" w:rsidRPr="0062194C" w:rsidTr="009B75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الاختبار الفصلي      </w:t>
            </w:r>
            <w:proofErr w:type="gramStart"/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145E96" w:rsidRPr="0062194C" w:rsidTr="009B75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الامتحان النهائي     </w:t>
            </w:r>
            <w:proofErr w:type="gramStart"/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62194C">
              <w:rPr>
                <w:rFonts w:asciiTheme="majorBidi" w:hAnsiTheme="majorBidi" w:cstheme="majorBidi"/>
                <w:b/>
                <w:bCs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145E96" w:rsidRPr="0062194C" w:rsidTr="009B75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62194C" w:rsidRDefault="00145E96" w:rsidP="00145E96">
            <w:pPr>
              <w:jc w:val="right"/>
              <w:rPr>
                <w:rFonts w:asciiTheme="majorBidi" w:hAnsiTheme="majorBidi" w:cstheme="majorBidi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145E96" w:rsidRPr="0062194C" w:rsidRDefault="00145E96" w:rsidP="00CA39F3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CA39F3" w:rsidRPr="0062194C" w:rsidRDefault="00CA39F3" w:rsidP="00145E9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62194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CA39F3" w:rsidRPr="0062194C" w:rsidRDefault="00CA39F3" w:rsidP="00CA39F3">
      <w:pPr>
        <w:pStyle w:val="1"/>
      </w:pPr>
      <w:bookmarkStart w:id="21" w:name="_Toc526247388"/>
      <w:bookmarkStart w:id="22" w:name="_Toc337793"/>
    </w:p>
    <w:p w:rsidR="00CA39F3" w:rsidRPr="0062194C" w:rsidRDefault="00CA39F3" w:rsidP="00CA39F3">
      <w:pPr>
        <w:pStyle w:val="1"/>
      </w:pPr>
      <w:r w:rsidRPr="0062194C">
        <w:rPr>
          <w:rtl/>
        </w:rPr>
        <w:t xml:space="preserve">هـ </w:t>
      </w:r>
      <w:proofErr w:type="gramStart"/>
      <w:r w:rsidRPr="0062194C">
        <w:rPr>
          <w:rtl/>
        </w:rPr>
        <w:t>- أنشطة</w:t>
      </w:r>
      <w:proofErr w:type="gramEnd"/>
      <w:r w:rsidRPr="0062194C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A39F3" w:rsidRPr="00B95613" w:rsidTr="009B750B">
        <w:trPr>
          <w:trHeight w:val="1298"/>
        </w:trPr>
        <w:tc>
          <w:tcPr>
            <w:tcW w:w="9571" w:type="dxa"/>
          </w:tcPr>
          <w:p w:rsidR="00145E96" w:rsidRPr="00B95613" w:rsidRDefault="00145E96" w:rsidP="00145E96">
            <w:pPr>
              <w:spacing w:after="200" w:line="276" w:lineRule="auto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145E96" w:rsidRPr="00B95613" w:rsidRDefault="00145E96" w:rsidP="00145E96">
            <w:pPr>
              <w:spacing w:after="200" w:line="276" w:lineRule="auto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</w:p>
          <w:p w:rsidR="00145E96" w:rsidRPr="00B95613" w:rsidRDefault="00145E96" w:rsidP="00145E96">
            <w:pPr>
              <w:spacing w:after="200" w:line="276" w:lineRule="auto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145E96" w:rsidRPr="00B95613" w:rsidRDefault="00145E96" w:rsidP="00145E96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145E96" w:rsidRPr="00B95613" w:rsidRDefault="00145E96" w:rsidP="00145E96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CA39F3" w:rsidRPr="00B95613" w:rsidRDefault="00145E96" w:rsidP="00145E96">
            <w:pPr>
              <w:bidi/>
              <w:jc w:val="both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CA39F3" w:rsidRPr="0062194C" w:rsidRDefault="00CA39F3" w:rsidP="00CA39F3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CA39F3" w:rsidRPr="0062194C" w:rsidRDefault="00CA39F3" w:rsidP="00CA39F3">
      <w:pPr>
        <w:pStyle w:val="1"/>
      </w:pPr>
      <w:bookmarkStart w:id="23" w:name="_Toc526247389"/>
      <w:bookmarkStart w:id="24" w:name="_Toc337794"/>
      <w:r w:rsidRPr="0062194C">
        <w:rPr>
          <w:rtl/>
        </w:rPr>
        <w:t>و – مصادر التعلم والمرافق:</w:t>
      </w:r>
      <w:bookmarkEnd w:id="23"/>
      <w:bookmarkEnd w:id="24"/>
      <w:r w:rsidRPr="0062194C">
        <w:rPr>
          <w:rtl/>
        </w:rPr>
        <w:t xml:space="preserve"> </w:t>
      </w:r>
    </w:p>
    <w:p w:rsidR="00CA39F3" w:rsidRPr="0062194C" w:rsidRDefault="00CA39F3" w:rsidP="00CA39F3">
      <w:pPr>
        <w:pStyle w:val="2"/>
        <w:rPr>
          <w:rtl/>
        </w:rPr>
      </w:pPr>
      <w:bookmarkStart w:id="25" w:name="_Toc337795"/>
      <w:r w:rsidRPr="0062194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CA39F3" w:rsidRPr="0062194C" w:rsidTr="009B750B">
        <w:trPr>
          <w:trHeight w:val="736"/>
        </w:trPr>
        <w:tc>
          <w:tcPr>
            <w:tcW w:w="2603" w:type="dxa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6219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CA39F3" w:rsidRPr="003B6AE4" w:rsidRDefault="00145E96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B6AE4">
              <w:rPr>
                <w:rFonts w:asciiTheme="majorBidi" w:hAnsiTheme="majorBidi" w:cstheme="majorBidi"/>
                <w:rtl/>
              </w:rPr>
              <w:t>علم البيـــان، د. عبد العزيز عتيق. دار النهضة العربية 1405هـ-1985م.</w:t>
            </w:r>
          </w:p>
        </w:tc>
      </w:tr>
      <w:tr w:rsidR="00CA39F3" w:rsidRPr="0062194C" w:rsidTr="009B750B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145E96" w:rsidRPr="00B95613" w:rsidRDefault="00145E96" w:rsidP="0062194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-أسرار البلاغة للإمام عبد القاهر الجرجاني، تحقيق محمود محمد شاكر / مطبعة المدني بالقاهرة، دار المدني بجدة.</w:t>
            </w:r>
          </w:p>
          <w:p w:rsidR="00145E96" w:rsidRPr="00B95613" w:rsidRDefault="00145E96" w:rsidP="0062194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-المثل السائر لابن الأثير، تحقيق محمد محيي الدين عبد الحميد. المكتبة العصرية-بيروت.</w:t>
            </w:r>
          </w:p>
          <w:p w:rsidR="00145E96" w:rsidRPr="00B95613" w:rsidRDefault="00145E96" w:rsidP="0062194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-التلخيص في علوم البلاغة للخطيب القزويني.</w:t>
            </w:r>
          </w:p>
          <w:p w:rsidR="00145E96" w:rsidRPr="00B95613" w:rsidRDefault="00145E96" w:rsidP="0062194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-التصوير البياني، د/محمد محمد أبو موسى. مكتبة وهبة. القاهرة.</w:t>
            </w:r>
          </w:p>
          <w:p w:rsidR="00CA39F3" w:rsidRPr="00B95613" w:rsidRDefault="00145E96" w:rsidP="0062194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- أفنان البيان، د/الشحات محمد أبو ستيت. مطبعة الأمانة. القاهرة.</w:t>
            </w:r>
          </w:p>
        </w:tc>
      </w:tr>
      <w:tr w:rsidR="00CA39F3" w:rsidRPr="0062194C" w:rsidTr="009B750B">
        <w:trPr>
          <w:trHeight w:val="736"/>
        </w:trPr>
        <w:tc>
          <w:tcPr>
            <w:tcW w:w="2603" w:type="dxa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145E96" w:rsidRPr="00B95613" w:rsidRDefault="00145E96" w:rsidP="00145E96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Theme="majorBidi" w:hAnsiTheme="majorBidi" w:cstheme="majorBidi"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:rsidR="00145E96" w:rsidRPr="00B95613" w:rsidRDefault="00145E96" w:rsidP="00145E96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Theme="majorBidi" w:hAnsiTheme="majorBidi" w:cstheme="majorBidi"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عجائب من العربية.</w:t>
            </w:r>
          </w:p>
          <w:p w:rsidR="00145E96" w:rsidRPr="00B95613" w:rsidRDefault="00145E96" w:rsidP="00145E96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Theme="majorBidi" w:hAnsiTheme="majorBidi" w:cstheme="majorBidi"/>
                <w:lang w:bidi="ar-EG"/>
              </w:rPr>
            </w:pPr>
            <w:r w:rsidRPr="00B95613">
              <w:rPr>
                <w:rFonts w:asciiTheme="majorBidi" w:hAnsiTheme="majorBidi" w:cstheme="majorBidi"/>
                <w:rtl/>
                <w:lang w:bidi="ar-EG"/>
              </w:rPr>
              <w:t>فنون اللغة العربية.</w:t>
            </w:r>
          </w:p>
          <w:p w:rsidR="00CA39F3" w:rsidRPr="00B95613" w:rsidRDefault="00440BE8" w:rsidP="0062194C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7" w:history="1">
              <w:r w:rsidR="00145E96" w:rsidRPr="00B95613">
                <w:rPr>
                  <w:rFonts w:asciiTheme="majorBidi" w:hAnsiTheme="majorBidi" w:cstheme="majorBidi"/>
                  <w:color w:val="0000FF"/>
                  <w:u w:val="single"/>
                </w:rPr>
                <w:t>http://www.al-mostafa.com/index.htm</w:t>
              </w:r>
            </w:hyperlink>
          </w:p>
          <w:p w:rsidR="00145E96" w:rsidRPr="00B95613" w:rsidRDefault="00440BE8" w:rsidP="0062194C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8" w:history="1">
              <w:r w:rsidR="00145E96" w:rsidRPr="00B95613">
                <w:rPr>
                  <w:rFonts w:asciiTheme="majorBidi" w:hAnsiTheme="majorBidi" w:cstheme="majorBidi"/>
                  <w:color w:val="0000FF"/>
                  <w:u w:val="single"/>
                </w:rPr>
                <w:t>http://www.alwaraq.net/index</w:t>
              </w:r>
            </w:hyperlink>
          </w:p>
          <w:p w:rsidR="00145E96" w:rsidRPr="00B95613" w:rsidRDefault="00440BE8" w:rsidP="0062194C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9" w:history="1">
              <w:r w:rsidR="00145E96" w:rsidRPr="00B95613">
                <w:rPr>
                  <w:rFonts w:asciiTheme="majorBidi" w:hAnsiTheme="majorBidi" w:cstheme="majorBidi"/>
                  <w:color w:val="0000FF"/>
                  <w:u w:val="single"/>
                </w:rPr>
                <w:t>http://www.imamu.edu.sa/arabiyah</w:t>
              </w:r>
              <w:r w:rsidR="00145E96" w:rsidRPr="00B95613">
                <w:rPr>
                  <w:rFonts w:asciiTheme="majorBidi" w:hAnsiTheme="majorBidi" w:cstheme="majorBidi"/>
                  <w:color w:val="0000FF"/>
                  <w:u w:val="single"/>
                  <w:rtl/>
                </w:rPr>
                <w:t>/</w:t>
              </w:r>
            </w:hyperlink>
          </w:p>
          <w:p w:rsidR="00145E96" w:rsidRPr="00B95613" w:rsidRDefault="00440BE8" w:rsidP="0062194C">
            <w:pPr>
              <w:bidi/>
              <w:jc w:val="right"/>
              <w:rPr>
                <w:rFonts w:asciiTheme="majorBidi" w:hAnsiTheme="majorBidi" w:cstheme="majorBidi"/>
              </w:rPr>
            </w:pPr>
            <w:hyperlink r:id="rId10" w:history="1">
              <w:r w:rsidR="00145E96" w:rsidRPr="00B95613">
                <w:rPr>
                  <w:rFonts w:asciiTheme="majorBidi" w:hAnsiTheme="majorBidi" w:cstheme="majorBidi"/>
                  <w:color w:val="0000FF"/>
                  <w:u w:val="single"/>
                </w:rPr>
                <w:t>http://www.alukah.net</w:t>
              </w:r>
              <w:r w:rsidR="00145E96" w:rsidRPr="00B95613">
                <w:rPr>
                  <w:rFonts w:asciiTheme="majorBidi" w:hAnsiTheme="majorBidi" w:cstheme="majorBidi"/>
                  <w:color w:val="0000FF"/>
                  <w:u w:val="single"/>
                  <w:rtl/>
                </w:rPr>
                <w:t>/</w:t>
              </w:r>
            </w:hyperlink>
          </w:p>
        </w:tc>
      </w:tr>
      <w:tr w:rsidR="00CA39F3" w:rsidRPr="0062194C" w:rsidTr="009B750B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CA39F3" w:rsidRPr="0062194C" w:rsidRDefault="00CA39F3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CA39F3" w:rsidRPr="0062194C" w:rsidRDefault="00CA39F3" w:rsidP="00CA39F3">
      <w:pPr>
        <w:pStyle w:val="2"/>
        <w:rPr>
          <w:sz w:val="14"/>
          <w:szCs w:val="14"/>
          <w:rtl/>
        </w:rPr>
      </w:pPr>
      <w:bookmarkStart w:id="26" w:name="_Toc526247390"/>
    </w:p>
    <w:p w:rsidR="00CA39F3" w:rsidRPr="0062194C" w:rsidRDefault="00CA39F3" w:rsidP="00CA39F3">
      <w:pPr>
        <w:pStyle w:val="2"/>
      </w:pPr>
      <w:bookmarkStart w:id="27" w:name="_Toc337796"/>
      <w:r w:rsidRPr="0062194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A39F3" w:rsidRPr="0062194C" w:rsidTr="009B750B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CA39F3" w:rsidRPr="0062194C" w:rsidTr="009B750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145E96" w:rsidRPr="00B95613" w:rsidRDefault="00145E96" w:rsidP="00145E96">
            <w:pPr>
              <w:numPr>
                <w:ilvl w:val="0"/>
                <w:numId w:val="3"/>
              </w:numPr>
              <w:bidi/>
              <w:contextualSpacing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 xml:space="preserve">قاعة دراسية سعة (30) </w:t>
            </w:r>
            <w:proofErr w:type="gramStart"/>
            <w:r w:rsidRPr="00B95613">
              <w:rPr>
                <w:rFonts w:asciiTheme="majorBidi" w:hAnsiTheme="majorBidi" w:cstheme="majorBidi"/>
                <w:rtl/>
              </w:rPr>
              <w:t>طالباً .</w:t>
            </w:r>
            <w:proofErr w:type="gramEnd"/>
          </w:p>
          <w:p w:rsidR="00145E96" w:rsidRPr="00B95613" w:rsidRDefault="00145E96" w:rsidP="00145E96">
            <w:pPr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145E96" w:rsidRPr="00B95613" w:rsidRDefault="00145E96" w:rsidP="00145E96">
            <w:pPr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145E96" w:rsidRPr="00B95613" w:rsidRDefault="00145E96" w:rsidP="00145E96">
            <w:pPr>
              <w:numPr>
                <w:ilvl w:val="0"/>
                <w:numId w:val="3"/>
              </w:numPr>
              <w:bidi/>
              <w:rPr>
                <w:rFonts w:asciiTheme="majorBidi" w:eastAsia="Calibr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برامج لغوية تعليمية</w:t>
            </w:r>
            <w:r w:rsidRPr="00B95613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CA39F3" w:rsidRPr="00B95613" w:rsidRDefault="00145E96" w:rsidP="00145E96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gramStart"/>
            <w:r w:rsidRPr="00B95613">
              <w:rPr>
                <w:rFonts w:asciiTheme="majorBidi" w:hAnsiTheme="majorBidi" w:cstheme="majorBidi"/>
                <w:rtl/>
              </w:rPr>
              <w:t>5- مكتبات</w:t>
            </w:r>
            <w:proofErr w:type="gramEnd"/>
            <w:r w:rsidRPr="00B95613">
              <w:rPr>
                <w:rFonts w:asciiTheme="majorBidi" w:hAnsiTheme="majorBidi" w:cstheme="majorBidi"/>
                <w:rtl/>
              </w:rPr>
              <w:t xml:space="preserve"> مصغرة تحوي المراجع الأساسية.</w:t>
            </w:r>
          </w:p>
        </w:tc>
      </w:tr>
      <w:tr w:rsidR="00CA39F3" w:rsidRPr="0062194C" w:rsidTr="009B750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9F3" w:rsidRPr="00B95613" w:rsidRDefault="00145E96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معمل الحاسب الآلي يجب ألا تقل سعته عن25 مقعدا وينبغي توفير مالا يقل عن 4 معامل في القسم مزودة بأقراص مضغوطة.</w:t>
            </w:r>
          </w:p>
        </w:tc>
      </w:tr>
      <w:tr w:rsidR="00CA39F3" w:rsidRPr="0062194C" w:rsidTr="009B750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A39F3" w:rsidRPr="0062194C" w:rsidRDefault="00CA39F3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62194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62194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45E96" w:rsidRPr="00B95613" w:rsidRDefault="00145E96" w:rsidP="00145E96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CA39F3" w:rsidRPr="00B95613" w:rsidRDefault="00145E96" w:rsidP="00145E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CA39F3" w:rsidRPr="0062194C" w:rsidRDefault="00CA39F3" w:rsidP="00CA39F3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CA39F3" w:rsidRPr="0062194C" w:rsidRDefault="00CA39F3" w:rsidP="00CA39F3">
      <w:pPr>
        <w:pStyle w:val="1"/>
        <w:rPr>
          <w:rtl/>
        </w:rPr>
      </w:pPr>
      <w:r w:rsidRPr="0062194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145E96" w:rsidRPr="0062194C" w:rsidTr="00145E9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bookmarkStart w:id="30" w:name="_Toc521326972"/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45E96" w:rsidRPr="0062194C" w:rsidRDefault="00145E96" w:rsidP="009B750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2194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145E96" w:rsidRPr="0062194C" w:rsidTr="009B750B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bookmarkStart w:id="32" w:name="_Hlk513021635"/>
            <w:r w:rsidRPr="00B95613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5E96" w:rsidRPr="00B95613" w:rsidRDefault="00145E96" w:rsidP="0062194C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التعرف على آراء الطالب في المقرر وما شاب العملية التدريسية من أخطاء.</w:t>
            </w:r>
          </w:p>
        </w:tc>
      </w:tr>
      <w:tr w:rsidR="00145E96" w:rsidRPr="0062194C" w:rsidTr="009B750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5E96" w:rsidRPr="00B95613" w:rsidRDefault="00145E96" w:rsidP="0062194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145E96" w:rsidRPr="0062194C" w:rsidTr="009B750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5E96" w:rsidRPr="00B95613" w:rsidRDefault="00145E96" w:rsidP="0062194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استبانة رأي الخريجين.</w:t>
            </w:r>
          </w:p>
        </w:tc>
      </w:tr>
      <w:tr w:rsidR="00145E96" w:rsidRPr="0062194C" w:rsidTr="009B750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5E96" w:rsidRPr="00B95613" w:rsidRDefault="00145E96" w:rsidP="009B750B">
            <w:pPr>
              <w:jc w:val="center"/>
              <w:rPr>
                <w:rFonts w:asciiTheme="majorBidi" w:hAnsiTheme="majorBidi" w:cstheme="majorBidi"/>
              </w:rPr>
            </w:pPr>
            <w:r w:rsidRPr="00B95613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5E96" w:rsidRPr="00B95613" w:rsidRDefault="00145E96" w:rsidP="0062194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  <w:bookmarkEnd w:id="32"/>
    </w:tbl>
    <w:p w:rsidR="00145E96" w:rsidRPr="0062194C" w:rsidRDefault="00145E96" w:rsidP="00CA39F3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:rsidR="00CA39F3" w:rsidRPr="0062194C" w:rsidRDefault="00CA39F3" w:rsidP="00145E9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62194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62194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CA39F3" w:rsidRPr="0062194C" w:rsidRDefault="00CA39F3" w:rsidP="00CA39F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62194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62194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CA39F3" w:rsidRPr="0062194C" w:rsidRDefault="00CA39F3" w:rsidP="00CA39F3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62194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62194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CA39F3" w:rsidRPr="0062194C" w:rsidRDefault="00CA39F3" w:rsidP="00CA39F3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CA39F3" w:rsidRPr="0062194C" w:rsidRDefault="00CA39F3" w:rsidP="00CA39F3">
      <w:pPr>
        <w:pStyle w:val="1"/>
        <w:rPr>
          <w:rtl/>
        </w:rPr>
      </w:pPr>
      <w:bookmarkStart w:id="34" w:name="_Toc337798"/>
      <w:r w:rsidRPr="0062194C">
        <w:rPr>
          <w:rtl/>
        </w:rPr>
        <w:t>ح. اعتماد التوصيف</w:t>
      </w:r>
      <w:bookmarkEnd w:id="34"/>
      <w:r w:rsidRPr="0062194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CA39F3" w:rsidRPr="0062194C" w:rsidTr="009B750B">
        <w:trPr>
          <w:trHeight w:val="340"/>
        </w:trPr>
        <w:tc>
          <w:tcPr>
            <w:tcW w:w="961" w:type="pct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CA39F3" w:rsidRPr="00B95613" w:rsidRDefault="00145E96" w:rsidP="00145E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95613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CA39F3" w:rsidRPr="0062194C" w:rsidTr="009B750B">
        <w:trPr>
          <w:trHeight w:val="340"/>
        </w:trPr>
        <w:tc>
          <w:tcPr>
            <w:tcW w:w="961" w:type="pct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62194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CA39F3" w:rsidRPr="0062194C" w:rsidRDefault="00521B51" w:rsidP="00521B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CA39F3" w:rsidRPr="0062194C" w:rsidTr="009B750B">
        <w:trPr>
          <w:trHeight w:val="340"/>
        </w:trPr>
        <w:tc>
          <w:tcPr>
            <w:tcW w:w="961" w:type="pct"/>
          </w:tcPr>
          <w:p w:rsidR="00CA39F3" w:rsidRPr="0062194C" w:rsidRDefault="00CA39F3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2194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CA39F3" w:rsidRPr="0062194C" w:rsidRDefault="00521B51" w:rsidP="00521B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0"/>
      <w:bookmarkEnd w:id="35"/>
    </w:tbl>
    <w:p w:rsidR="00CA39F3" w:rsidRPr="0062194C" w:rsidRDefault="00CA39F3" w:rsidP="00CA39F3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AE0BAF" w:rsidRPr="0062194C" w:rsidRDefault="00AE0BAF">
      <w:pPr>
        <w:rPr>
          <w:rFonts w:asciiTheme="majorBidi" w:hAnsiTheme="majorBidi" w:cstheme="majorBidi"/>
        </w:rPr>
      </w:pPr>
    </w:p>
    <w:sectPr w:rsidR="00AE0BAF" w:rsidRPr="0062194C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E8" w:rsidRDefault="00440BE8">
      <w:r>
        <w:separator/>
      </w:r>
    </w:p>
  </w:endnote>
  <w:endnote w:type="continuationSeparator" w:id="0">
    <w:p w:rsidR="00440BE8" w:rsidRDefault="0044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145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440B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145E96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E65FBDD" wp14:editId="697C1FC7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C14F8" wp14:editId="6B1D5BB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145E96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21B5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DC14F8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145E96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21B5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E8" w:rsidRDefault="00440BE8">
      <w:r>
        <w:separator/>
      </w:r>
    </w:p>
  </w:footnote>
  <w:footnote w:type="continuationSeparator" w:id="0">
    <w:p w:rsidR="00440BE8" w:rsidRDefault="0044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145E96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44B5A" wp14:editId="1CDBADD0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A1DB9"/>
    <w:multiLevelType w:val="hybridMultilevel"/>
    <w:tmpl w:val="87949EBE"/>
    <w:lvl w:ilvl="0" w:tplc="70FC0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7"/>
    <w:rsid w:val="00144103"/>
    <w:rsid w:val="00145E96"/>
    <w:rsid w:val="003B6AE4"/>
    <w:rsid w:val="00440BE8"/>
    <w:rsid w:val="004D2FED"/>
    <w:rsid w:val="00521B51"/>
    <w:rsid w:val="0062194C"/>
    <w:rsid w:val="009E5205"/>
    <w:rsid w:val="00A76AF7"/>
    <w:rsid w:val="00A93B99"/>
    <w:rsid w:val="00AE0BAF"/>
    <w:rsid w:val="00B5273D"/>
    <w:rsid w:val="00B66E06"/>
    <w:rsid w:val="00B95613"/>
    <w:rsid w:val="00CA39F3"/>
    <w:rsid w:val="00D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12704-062C-435E-8B67-8722F585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CA39F3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CA39F3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CA39F3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A39F3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CA39F3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CA39F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A39F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CA39F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A39F3"/>
  </w:style>
  <w:style w:type="paragraph" w:styleId="a5">
    <w:name w:val="header"/>
    <w:basedOn w:val="a"/>
    <w:link w:val="Char0"/>
    <w:uiPriority w:val="99"/>
    <w:rsid w:val="00CA39F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CA39F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A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CA39F3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CA39F3"/>
    <w:pPr>
      <w:spacing w:after="100"/>
      <w:ind w:left="240"/>
    </w:pPr>
  </w:style>
  <w:style w:type="character" w:styleId="Hyperlink">
    <w:name w:val="Hyperlink"/>
    <w:uiPriority w:val="99"/>
    <w:unhideWhenUsed/>
    <w:rsid w:val="00CA39F3"/>
    <w:rPr>
      <w:color w:val="0000FF"/>
      <w:u w:val="single"/>
    </w:rPr>
  </w:style>
  <w:style w:type="paragraph" w:styleId="a7">
    <w:name w:val="No Spacing"/>
    <w:uiPriority w:val="1"/>
    <w:qFormat/>
    <w:rsid w:val="00C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lukah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mu.edu.sa/arabiyah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9</cp:revision>
  <dcterms:created xsi:type="dcterms:W3CDTF">2020-09-23T13:25:00Z</dcterms:created>
  <dcterms:modified xsi:type="dcterms:W3CDTF">2021-02-18T10:56:00Z</dcterms:modified>
</cp:coreProperties>
</file>