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4F23C3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صرف</w:t>
            </w:r>
            <w:r w:rsidR="009C42C1"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382CF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</w:t>
            </w:r>
            <w:r w:rsidR="00382CF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232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086EDF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382CF1" w:rsidP="00DB7F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الرابع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2CF1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ARB131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5870CF" w:rsidRPr="00CA2FDE" w:rsidRDefault="005870CF" w:rsidP="00382CF1">
            <w:pPr>
              <w:bidi/>
              <w:jc w:val="both"/>
              <w:rPr>
                <w:rStyle w:val="a8"/>
                <w:rFonts w:asciiTheme="majorBidi" w:hAnsiTheme="majorBidi" w:cstheme="majorBidi"/>
                <w:b w:val="0"/>
                <w:bCs w:val="0"/>
                <w:color w:val="333333"/>
                <w:shd w:val="clear" w:color="auto" w:fill="FFFFFF"/>
                <w:rtl/>
              </w:rPr>
            </w:pPr>
            <w:r w:rsidRPr="00CA2FDE">
              <w:rPr>
                <w:rStyle w:val="a8"/>
                <w:rFonts w:asciiTheme="majorBidi" w:hAnsiTheme="majorBidi" w:cstheme="majorBidi"/>
                <w:b w:val="0"/>
                <w:bCs w:val="0"/>
                <w:color w:val="333333"/>
                <w:shd w:val="clear" w:color="auto" w:fill="FFFFFF"/>
                <w:rtl/>
              </w:rPr>
              <w:t>يدرس الطالب في هذا المستوى المادة العلمية الصرفية المتعلقة بدراسة الاسم من حيث التجرد والزيادة والجمود والاشتقاق</w:t>
            </w:r>
            <w:r w:rsidR="00382CF1">
              <w:rPr>
                <w:rStyle w:val="a8"/>
                <w:rFonts w:asciiTheme="majorBidi" w:hAnsiTheme="majorBidi" w:cstheme="majorBidi" w:hint="cs"/>
                <w:b w:val="0"/>
                <w:bCs w:val="0"/>
                <w:color w:val="333333"/>
                <w:shd w:val="clear" w:color="auto" w:fill="FFFFFF"/>
                <w:rtl/>
              </w:rPr>
              <w:t>،</w:t>
            </w:r>
            <w:r w:rsidRPr="00CA2FDE">
              <w:rPr>
                <w:rStyle w:val="a8"/>
                <w:rFonts w:asciiTheme="majorBidi" w:hAnsiTheme="majorBidi" w:cstheme="majorBidi"/>
                <w:b w:val="0"/>
                <w:bCs w:val="0"/>
                <w:color w:val="333333"/>
                <w:shd w:val="clear" w:color="auto" w:fill="FFFFFF"/>
                <w:rtl/>
              </w:rPr>
              <w:t xml:space="preserve"> ثم المشتقات الاسمية التي تشمل: اسم الفاعل والمفعول والزمان والمكان، والمقصور والمنقوص والممدود.</w:t>
            </w:r>
          </w:p>
          <w:p w:rsidR="00D73362" w:rsidRPr="007A5BDC" w:rsidRDefault="00D73362" w:rsidP="004F23C3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0CF" w:rsidRPr="00CA2FDE" w:rsidRDefault="005870CF" w:rsidP="005870CF">
            <w:pPr>
              <w:bidi/>
              <w:spacing w:line="276" w:lineRule="auto"/>
              <w:jc w:val="lowKashida"/>
              <w:rPr>
                <w:rFonts w:asciiTheme="minorBidi" w:hAnsiTheme="minorBidi"/>
                <w:rtl/>
                <w:lang w:bidi="ar-EG"/>
              </w:rPr>
            </w:pPr>
            <w:r w:rsidRPr="00CA2FDE">
              <w:rPr>
                <w:rFonts w:asciiTheme="minorBidi" w:hAnsiTheme="minorBidi"/>
                <w:rtl/>
                <w:lang w:bidi="ar-EG"/>
              </w:rPr>
              <w:t>أن يعرف الطالب أبنية المجرد والمزيد من الأسماء</w:t>
            </w:r>
            <w:r w:rsidR="00382CF1">
              <w:rPr>
                <w:rFonts w:asciiTheme="minorBidi" w:hAnsiTheme="minorBidi" w:hint="cs"/>
                <w:rtl/>
                <w:lang w:val="fr-FR" w:bidi="ar-EG"/>
              </w:rPr>
              <w:t>، و</w:t>
            </w:r>
            <w:r w:rsidRPr="00CA2FDE">
              <w:rPr>
                <w:rFonts w:asciiTheme="minorBidi" w:hAnsiTheme="minorBidi"/>
                <w:rtl/>
                <w:lang w:bidi="ar-EG"/>
              </w:rPr>
              <w:t>طريقة صياغة المصادر من الأفعال المختلف</w:t>
            </w:r>
            <w:r w:rsidRPr="00CA2FDE">
              <w:rPr>
                <w:rFonts w:asciiTheme="minorBidi" w:hAnsiTheme="minorBidi" w:hint="cs"/>
                <w:rtl/>
                <w:lang w:bidi="ar-EG"/>
              </w:rPr>
              <w:t>ة</w:t>
            </w:r>
            <w:r w:rsidR="00382CF1">
              <w:rPr>
                <w:rFonts w:asciiTheme="minorBidi" w:hAnsiTheme="minorBidi" w:hint="cs"/>
                <w:rtl/>
                <w:lang w:bidi="ar-EG"/>
              </w:rPr>
              <w:t>.</w:t>
            </w:r>
          </w:p>
          <w:p w:rsidR="00D73362" w:rsidRPr="007A5BDC" w:rsidRDefault="00382CF1" w:rsidP="00382CF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  <w:lang w:bidi="ar-EG"/>
              </w:rPr>
              <w:t xml:space="preserve"> و</w:t>
            </w:r>
            <w:r w:rsidR="005870CF" w:rsidRPr="00CA2FDE">
              <w:rPr>
                <w:rFonts w:asciiTheme="minorBidi" w:hAnsiTheme="minorBidi"/>
                <w:rtl/>
                <w:lang w:bidi="ar-EG"/>
              </w:rPr>
              <w:t>أن يعرف أنواع المشتقات وكيفية صياغتها</w:t>
            </w:r>
            <w:r w:rsidR="005870CF" w:rsidRPr="00CA2FDE">
              <w:rPr>
                <w:rFonts w:asciiTheme="minorBidi" w:hAnsiTheme="minorBidi" w:hint="cs"/>
                <w:rtl/>
                <w:lang w:bidi="ar-EG"/>
              </w:rPr>
              <w:t xml:space="preserve">، </w:t>
            </w:r>
            <w:r>
              <w:rPr>
                <w:rFonts w:asciiTheme="minorBidi" w:hAnsiTheme="minorBidi" w:hint="cs"/>
                <w:rtl/>
                <w:lang w:bidi="ar-EG"/>
              </w:rPr>
              <w:t>و</w:t>
            </w:r>
            <w:r w:rsidR="005870CF" w:rsidRPr="00CA2FDE">
              <w:rPr>
                <w:rFonts w:asciiTheme="minorBidi" w:hAnsiTheme="minorBidi" w:hint="cs"/>
                <w:rtl/>
                <w:lang w:bidi="ar-EG"/>
              </w:rPr>
              <w:t>الفرق بين</w:t>
            </w:r>
            <w:r w:rsidR="005870CF" w:rsidRPr="00CA2FDE">
              <w:rPr>
                <w:rFonts w:asciiTheme="minorBidi" w:hAnsiTheme="minorBidi"/>
                <w:rtl/>
                <w:lang w:bidi="ar-EG"/>
              </w:rPr>
              <w:t xml:space="preserve"> المذكر والمؤنث وعلامات التأنيث</w:t>
            </w:r>
            <w:r w:rsidR="005870CF" w:rsidRPr="00CA2FDE">
              <w:rPr>
                <w:rFonts w:asciiTheme="minorBidi" w:hAnsiTheme="minorBidi" w:hint="cs"/>
                <w:rtl/>
                <w:lang w:val="fr-FR" w:bidi="ar-EG"/>
              </w:rPr>
              <w:t>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2CF1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2CF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85E98" w:rsidRPr="007A5BDC" w:rsidTr="00382CF1">
        <w:trPr>
          <w:trHeight w:val="562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885E98" w:rsidRPr="007A5BDC" w:rsidRDefault="00885E98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885E98" w:rsidRPr="00381586" w:rsidRDefault="00885E98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>معرفة الأبنية الصرفية ا</w:t>
            </w:r>
            <w:r w:rsidR="00382CF1">
              <w:rPr>
                <w:rFonts w:asciiTheme="majorBidi" w:hAnsiTheme="majorBidi" w:hint="cs"/>
                <w:rtl/>
              </w:rPr>
              <w:t>لخاصة بالأسماء وكيفية صياغتها.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885E98" w:rsidRPr="00381586" w:rsidRDefault="00885E98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382CF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2CF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885E98" w:rsidP="00DB7FF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2,3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885E98" w:rsidRDefault="00885E98" w:rsidP="00885E9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85E98">
              <w:rPr>
                <w:rFonts w:asciiTheme="majorBidi" w:hAnsiTheme="majorBidi" w:cstheme="majorBidi"/>
                <w:rtl/>
                <w:lang w:bidi="ar-EG"/>
              </w:rPr>
              <w:t xml:space="preserve">تمييز الفروق بين </w:t>
            </w:r>
            <w:r w:rsidR="005D2D19" w:rsidRPr="00885E98">
              <w:rPr>
                <w:rFonts w:asciiTheme="majorBidi" w:hAnsiTheme="majorBidi" w:cstheme="majorBidi" w:hint="cs"/>
                <w:rtl/>
                <w:lang w:bidi="ar-EG"/>
              </w:rPr>
              <w:t xml:space="preserve">البنى </w:t>
            </w:r>
            <w:proofErr w:type="gramStart"/>
            <w:r w:rsidR="005D2D19" w:rsidRPr="00885E98">
              <w:rPr>
                <w:rFonts w:asciiTheme="majorBidi" w:hAnsiTheme="majorBidi" w:cstheme="majorBidi" w:hint="cs"/>
                <w:rtl/>
                <w:lang w:bidi="ar-EG"/>
              </w:rPr>
              <w:t>التصريفية</w:t>
            </w:r>
            <w:r w:rsidRPr="00885E98">
              <w:rPr>
                <w:rFonts w:asciiTheme="majorBidi" w:hAnsiTheme="majorBidi" w:cstheme="majorBidi"/>
                <w:rtl/>
                <w:lang w:bidi="ar-EG"/>
              </w:rPr>
              <w:t xml:space="preserve">  الخاصة</w:t>
            </w:r>
            <w:proofErr w:type="gramEnd"/>
            <w:r w:rsidRPr="00885E98">
              <w:rPr>
                <w:rFonts w:asciiTheme="majorBidi" w:hAnsiTheme="majorBidi" w:cstheme="majorBidi"/>
                <w:rtl/>
                <w:lang w:bidi="ar-EG"/>
              </w:rPr>
              <w:t xml:space="preserve"> بالأسماء مع القدرة على تحليل الشواهد الصرفية</w:t>
            </w:r>
            <w:r w:rsidR="00382CF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381586" w:rsidRDefault="009C42C1" w:rsidP="00885E9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 xml:space="preserve">م </w:t>
            </w:r>
            <w:r w:rsidR="00885E9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D73362" w:rsidRPr="007A5BDC" w:rsidTr="00382CF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85E98" w:rsidRPr="007A5BDC" w:rsidTr="00382CF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85E98" w:rsidRPr="007A5BDC" w:rsidRDefault="00495B2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3,1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885E98" w:rsidRPr="007A5BDC" w:rsidRDefault="005D2D19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85E98" w:rsidRPr="007A5BDC" w:rsidRDefault="00495B2F" w:rsidP="00495B2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382CF1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hAnsiTheme="majorBidi" w:cstheme="majorBidi"/>
                <w:rtl/>
              </w:rPr>
              <w:t>التعريف بالمقرر، وأهدافه</w:t>
            </w:r>
            <w:r w:rsidR="005870CF" w:rsidRPr="005870CF">
              <w:rPr>
                <w:rFonts w:asciiTheme="majorBidi" w:hAnsiTheme="majorBidi" w:cstheme="majorBidi"/>
                <w:rtl/>
              </w:rPr>
              <w:t>، تصريف الاسم من حيث التجرد والزيادة</w:t>
            </w:r>
            <w:r>
              <w:rPr>
                <w:rFonts w:asciiTheme="majorBidi" w:eastAsia="Calibri" w:hAnsiTheme="majorBidi" w:cstheme="majorBidi"/>
                <w:rtl/>
              </w:rPr>
              <w:t xml:space="preserve"> والجمود والاشتقاق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382CF1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المشتقات من الأسماء: المصدر: تعريفه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 xml:space="preserve">، أوزان المصدر </w:t>
            </w:r>
            <w:r w:rsidRPr="005870CF">
              <w:rPr>
                <w:rFonts w:asciiTheme="majorBidi" w:eastAsia="Calibri" w:hAnsiTheme="majorBidi" w:cstheme="majorBidi" w:hint="cs"/>
                <w:rtl/>
              </w:rPr>
              <w:t>الثلاثي وغير</w:t>
            </w:r>
            <w:r>
              <w:rPr>
                <w:rFonts w:asciiTheme="majorBidi" w:eastAsia="Calibri" w:hAnsiTheme="majorBidi" w:cstheme="majorBidi"/>
                <w:rtl/>
              </w:rPr>
              <w:t xml:space="preserve"> الثلاثي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المصدر الميمي، المصدر الصناعي، اسم المرة، اسم الهيئة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  <w:lang w:bidi="ar-EG"/>
              </w:rPr>
            </w:pPr>
            <w:r>
              <w:rPr>
                <w:rFonts w:asciiTheme="majorBidi" w:eastAsia="Calibri" w:hAnsiTheme="majorBidi" w:cstheme="majorBidi"/>
                <w:rtl/>
              </w:rPr>
              <w:t>اسم الزمان، اسم المكان، اسم الآلة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اسم الفاعل، اسم المفعول: تعريفهما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وكيف</w:t>
            </w:r>
            <w:r>
              <w:rPr>
                <w:rFonts w:asciiTheme="majorBidi" w:eastAsia="Calibri" w:hAnsiTheme="majorBidi" w:cstheme="majorBidi"/>
                <w:rtl/>
              </w:rPr>
              <w:t xml:space="preserve"> يصاغان من الثلاثي وغير الثلاثي، صيغ المبالغة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382CF1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الصفة المشبهة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 xml:space="preserve">: </w:t>
            </w:r>
            <w:r>
              <w:rPr>
                <w:rFonts w:asciiTheme="majorBidi" w:eastAsia="Calibri" w:hAnsiTheme="majorBidi" w:cstheme="majorBidi"/>
                <w:rtl/>
              </w:rPr>
              <w:t>تعريفها، علاماتها، ما تصاغ منه الصفة المشبهة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أوزانها من الثلاثي وغيره.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 xml:space="preserve"> صيغتا التعجب، شروط الصياغة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التعجب مما لم يستوف الشروط.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382CF1" w:rsidP="00382CF1">
            <w:pPr>
              <w:bidi/>
              <w:spacing w:before="240" w:after="120" w:line="216" w:lineRule="auto"/>
              <w:jc w:val="both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اسم التفضيل: تعريفه، أوزانه</w:t>
            </w:r>
            <w:r>
              <w:rPr>
                <w:rFonts w:asciiTheme="majorBidi" w:eastAsia="Calibri" w:hAnsiTheme="majorBidi" w:cstheme="majorBidi" w:hint="cs"/>
                <w:rtl/>
              </w:rPr>
              <w:t>،</w:t>
            </w:r>
            <w:r>
              <w:rPr>
                <w:rFonts w:asciiTheme="majorBidi" w:eastAsia="Calibri" w:hAnsiTheme="majorBidi" w:cstheme="majorBidi"/>
                <w:rtl/>
              </w:rPr>
              <w:t xml:space="preserve"> شروط صياغته، التفضيل مما لم يستوف الشروط، أحوال أفعل التفضيل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وقوع (أفعل) لغير التفضيل.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تقسيم الاسم إلى مذكر ومؤنث: علامات تأنيث الاسم، دليل تأنيث ما ليس فيه علامة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الصفات المؤنثة التي لا تلحقها تاء التأنيث.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5870CF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 w:rsidRPr="005870CF">
              <w:rPr>
                <w:rFonts w:asciiTheme="majorBidi" w:eastAsia="Calibri" w:hAnsiTheme="majorBidi" w:cstheme="majorBidi"/>
                <w:rtl/>
              </w:rPr>
              <w:t>الأوزان المشهورة ل</w:t>
            </w:r>
            <w:r w:rsidR="00382CF1">
              <w:rPr>
                <w:rFonts w:asciiTheme="majorBidi" w:eastAsia="Calibri" w:hAnsiTheme="majorBidi" w:cstheme="majorBidi"/>
                <w:rtl/>
              </w:rPr>
              <w:t>ألف التأنيث المقصورة والممدودة</w:t>
            </w:r>
            <w:r w:rsidR="00382CF1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rtl/>
              </w:rPr>
              <w:t>تقسيم الاسم باعتبار آخره إلى: مقصور، منقوص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>، ممدود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5870CF" w:rsidRPr="007A5BDC" w:rsidTr="00382CF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0CF" w:rsidRPr="007A5BDC" w:rsidRDefault="005870CF" w:rsidP="005870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5870CF" w:rsidRPr="005870CF" w:rsidRDefault="00382CF1" w:rsidP="005870CF">
            <w:pPr>
              <w:bidi/>
              <w:spacing w:before="240" w:after="120" w:line="216" w:lineRule="auto"/>
              <w:rPr>
                <w:rFonts w:asciiTheme="majorBidi" w:hAnsiTheme="majorBidi" w:cstheme="majorBidi"/>
                <w:color w:val="525252" w:themeColor="accent3" w:themeShade="80"/>
              </w:rPr>
            </w:pPr>
            <w:r>
              <w:rPr>
                <w:rFonts w:asciiTheme="majorBidi" w:eastAsia="Calibri" w:hAnsiTheme="majorBidi" w:cstheme="majorBidi"/>
                <w:rtl/>
              </w:rPr>
              <w:t>المشتقات من الأسماء: المصدر: تعريفه</w:t>
            </w:r>
            <w:r w:rsidR="005870CF" w:rsidRPr="005870CF">
              <w:rPr>
                <w:rFonts w:asciiTheme="majorBidi" w:eastAsia="Calibri" w:hAnsiTheme="majorBidi" w:cstheme="majorBidi"/>
                <w:rtl/>
              </w:rPr>
              <w:t xml:space="preserve">، أوزان المصدر </w:t>
            </w:r>
            <w:r w:rsidRPr="005870CF">
              <w:rPr>
                <w:rFonts w:asciiTheme="majorBidi" w:eastAsia="Calibri" w:hAnsiTheme="majorBidi" w:cstheme="majorBidi" w:hint="cs"/>
                <w:rtl/>
              </w:rPr>
              <w:t>الثلاثي وغير</w:t>
            </w:r>
            <w:r>
              <w:rPr>
                <w:rFonts w:asciiTheme="majorBidi" w:eastAsia="Calibri" w:hAnsiTheme="majorBidi" w:cstheme="majorBidi"/>
                <w:rtl/>
              </w:rPr>
              <w:t xml:space="preserve"> الثلاثي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70CF" w:rsidRPr="00381586" w:rsidRDefault="005870CF" w:rsidP="005870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7A5BDC" w:rsidTr="00382CF1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495B2F" w:rsidRPr="007A5BDC" w:rsidTr="0027313C">
        <w:trPr>
          <w:trHeight w:val="1104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495B2F" w:rsidRPr="007A5BDC" w:rsidRDefault="00495B2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495B2F" w:rsidRPr="00BF5E5C" w:rsidRDefault="00495B2F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495B2F">
              <w:rPr>
                <w:rFonts w:asciiTheme="majorBidi" w:hAnsiTheme="majorBidi"/>
                <w:rtl/>
              </w:rPr>
              <w:t>معرفة الأبنية الصرفية الخاصة بالأسماء وكيفية صياغتها 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495B2F" w:rsidRPr="00BF5E5C" w:rsidRDefault="00495B2F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495B2F" w:rsidRPr="00BF5E5C" w:rsidRDefault="00495B2F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495B2F" w:rsidRPr="00BF5E5C" w:rsidRDefault="00495B2F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495B2F" w:rsidRPr="007A5BDC" w:rsidRDefault="00495B2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495B2F" w:rsidRPr="00BF5E5C" w:rsidRDefault="00495B2F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495B2F" w:rsidRPr="00BF5E5C" w:rsidRDefault="00495B2F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495B2F" w:rsidRPr="007A5BDC" w:rsidRDefault="00495B2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95B2F" w:rsidRPr="007A5BDC" w:rsidTr="008F5728">
        <w:trPr>
          <w:trHeight w:val="1656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495B2F" w:rsidRPr="007A5BDC" w:rsidRDefault="00495B2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م3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495B2F" w:rsidRPr="00BF5E5C" w:rsidRDefault="005D2D19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تمييز الفروق بين البنى</w:t>
            </w:r>
            <w:r w:rsidR="00495B2F" w:rsidRPr="00495B2F">
              <w:rPr>
                <w:rFonts w:asciiTheme="majorBidi" w:hAnsiTheme="majorBidi"/>
                <w:rtl/>
              </w:rPr>
              <w:t xml:space="preserve"> </w:t>
            </w:r>
            <w:r w:rsidRPr="00495B2F">
              <w:rPr>
                <w:rFonts w:asciiTheme="majorBidi" w:hAnsiTheme="majorBidi" w:hint="cs"/>
                <w:rtl/>
              </w:rPr>
              <w:t>التصريفية الخاصة</w:t>
            </w:r>
            <w:r w:rsidR="00495B2F" w:rsidRPr="00495B2F">
              <w:rPr>
                <w:rFonts w:asciiTheme="majorBidi" w:hAnsiTheme="majorBidi"/>
                <w:rtl/>
              </w:rPr>
              <w:t xml:space="preserve"> بالأسماء مع القدرة على تحليل الشواهد الصرفية</w:t>
            </w:r>
            <w:r w:rsidR="00382CF1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495B2F" w:rsidRPr="00BF5E5C" w:rsidRDefault="00495B2F" w:rsidP="000B67ED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495B2F" w:rsidRPr="007A5BDC" w:rsidRDefault="00382CF1" w:rsidP="00495B2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495B2F">
              <w:rPr>
                <w:rFonts w:asciiTheme="majorBidi" w:hAnsiTheme="majorBidi" w:cstheme="majorBidi" w:hint="cs"/>
                <w:rtl/>
              </w:rPr>
              <w:t>التطبيقات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495B2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495B2F" w:rsidRPr="00BF5E5C" w:rsidRDefault="00495B2F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495B2F" w:rsidRPr="00BF5E5C" w:rsidRDefault="00495B2F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495B2F" w:rsidRPr="007A5BDC" w:rsidRDefault="00495B2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495B2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495B2F"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Pr="007A5BDC" w:rsidRDefault="00495B2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Pr="007A5BDC" w:rsidRDefault="00AF7020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382CF1" w:rsidRDefault="007C4C92" w:rsidP="00DB7FF2">
            <w:pPr>
              <w:bidi/>
              <w:jc w:val="lowKashida"/>
              <w:rPr>
                <w:rFonts w:asciiTheme="majorBidi" w:eastAsia="Calibri" w:hAnsiTheme="majorBidi" w:cstheme="majorBidi"/>
              </w:rPr>
            </w:pPr>
            <w:r w:rsidRPr="00382CF1">
              <w:rPr>
                <w:rFonts w:asciiTheme="majorBidi" w:eastAsia="Calibri" w:hAnsiTheme="majorBidi" w:cstheme="majorBidi"/>
                <w:rtl/>
              </w:rPr>
              <w:t>التبيان في تصريف الأسماء</w:t>
            </w:r>
            <w:r w:rsidR="00382CF1">
              <w:rPr>
                <w:rFonts w:asciiTheme="majorBidi" w:eastAsia="Calibri" w:hAnsiTheme="majorBidi" w:cstheme="majorBidi" w:hint="cs"/>
                <w:rtl/>
              </w:rPr>
              <w:t>،</w:t>
            </w:r>
            <w:r w:rsidRPr="00382CF1">
              <w:rPr>
                <w:rFonts w:asciiTheme="majorBidi" w:eastAsia="Calibri" w:hAnsiTheme="majorBidi" w:cstheme="majorBidi"/>
                <w:rtl/>
              </w:rPr>
              <w:t xml:space="preserve"> لأحمد كحيل</w:t>
            </w:r>
            <w:r w:rsidR="00382CF1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283D73" w:rsidRPr="00382CF1" w:rsidRDefault="007C4C92" w:rsidP="00283D73">
            <w:pPr>
              <w:bidi/>
              <w:jc w:val="lowKashida"/>
              <w:rPr>
                <w:rFonts w:asciiTheme="majorBidi" w:eastAsia="Calibri" w:hAnsiTheme="majorBidi" w:cstheme="majorBidi"/>
              </w:rPr>
            </w:pPr>
            <w:r w:rsidRPr="00382CF1">
              <w:rPr>
                <w:rFonts w:asciiTheme="majorBidi" w:eastAsia="Calibri" w:hAnsiTheme="majorBidi" w:cstheme="majorBidi"/>
                <w:rtl/>
              </w:rPr>
              <w:t>شذا العرف في فن الصرف</w:t>
            </w:r>
            <w:r w:rsidR="00382CF1">
              <w:rPr>
                <w:rFonts w:asciiTheme="majorBidi" w:eastAsia="Calibri" w:hAnsiTheme="majorBidi" w:cstheme="majorBidi" w:hint="cs"/>
                <w:rtl/>
              </w:rPr>
              <w:t>،</w:t>
            </w:r>
            <w:r w:rsidRPr="00382CF1">
              <w:rPr>
                <w:rFonts w:asciiTheme="majorBidi" w:eastAsia="Calibri" w:hAnsiTheme="majorBidi" w:cstheme="majorBidi" w:hint="cs"/>
                <w:rtl/>
              </w:rPr>
              <w:t xml:space="preserve"> </w:t>
            </w:r>
            <w:r w:rsidRPr="00382CF1">
              <w:rPr>
                <w:rFonts w:asciiTheme="majorBidi" w:eastAsia="Calibri" w:hAnsiTheme="majorBidi" w:cstheme="majorBidi"/>
                <w:rtl/>
              </w:rPr>
              <w:t>الشيخ أحمد الحملاوي</w:t>
            </w:r>
            <w:r w:rsidR="00382CF1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C4C92" w:rsidRPr="00E009C4" w:rsidRDefault="00086EDF" w:rsidP="007C4C92">
            <w:pPr>
              <w:bidi/>
              <w:rPr>
                <w:rFonts w:asciiTheme="majorBidi" w:hAnsiTheme="majorBidi" w:cstheme="majorBidi"/>
              </w:rPr>
            </w:pPr>
            <w:hyperlink r:id="rId7" w:history="1">
              <w:r w:rsidR="007C4C92" w:rsidRPr="00C84351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المصطفى</w:t>
            </w:r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http://www.alwaraq.net/index</w:t>
            </w:r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موقع الوراق</w:t>
            </w:r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http://www.almeshkat.net/books/index.php</w:t>
            </w:r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مشكاة الإسلام</w:t>
            </w:r>
          </w:p>
          <w:p w:rsidR="007C4C92" w:rsidRPr="00E009C4" w:rsidRDefault="007C4C92" w:rsidP="007C4C92">
            <w:pPr>
              <w:bidi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http://www.imamu.edu.sa/arabiyah</w:t>
            </w:r>
            <w:r w:rsidRPr="00E009C4">
              <w:rPr>
                <w:rFonts w:asciiTheme="majorBidi" w:hAnsiTheme="majorBidi"/>
                <w:rtl/>
              </w:rPr>
              <w:t>/</w:t>
            </w:r>
          </w:p>
          <w:p w:rsidR="00756FEF" w:rsidRPr="007A5BDC" w:rsidRDefault="007C4C92" w:rsidP="007C4C92">
            <w:pPr>
              <w:bidi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495B2F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</w:t>
            </w:r>
            <w:r w:rsidR="00382CF1">
              <w:rPr>
                <w:rFonts w:asciiTheme="majorBidi" w:hAnsiTheme="majorBidi" w:cstheme="majorBidi" w:hint="cs"/>
                <w:rtl/>
              </w:rPr>
              <w:t>.</w:t>
            </w:r>
            <w:r w:rsidR="00756FEF" w:rsidRPr="00755AAC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55AAC" w:rsidRDefault="00D73362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5D2D19" w:rsidP="005D2D1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5D2D19" w:rsidP="005D2D1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8"/>
      <w:footerReference w:type="default" r:id="rId9"/>
      <w:headerReference w:type="first" r:id="rId1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DF" w:rsidRDefault="00086EDF">
      <w:r>
        <w:separator/>
      </w:r>
    </w:p>
  </w:endnote>
  <w:endnote w:type="continuationSeparator" w:id="0">
    <w:p w:rsidR="00086EDF" w:rsidRDefault="000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086E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D2D1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D2D1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DF" w:rsidRDefault="00086EDF">
      <w:r>
        <w:separator/>
      </w:r>
    </w:p>
  </w:footnote>
  <w:footnote w:type="continuationSeparator" w:id="0">
    <w:p w:rsidR="00086EDF" w:rsidRDefault="0008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86EDF"/>
    <w:rsid w:val="000B67ED"/>
    <w:rsid w:val="001540CB"/>
    <w:rsid w:val="00187DD2"/>
    <w:rsid w:val="00196CA6"/>
    <w:rsid w:val="00271182"/>
    <w:rsid w:val="00283D73"/>
    <w:rsid w:val="00307249"/>
    <w:rsid w:val="00316F0A"/>
    <w:rsid w:val="00381586"/>
    <w:rsid w:val="00382CF1"/>
    <w:rsid w:val="003C3FDE"/>
    <w:rsid w:val="00495B2F"/>
    <w:rsid w:val="004F23C3"/>
    <w:rsid w:val="00544C0D"/>
    <w:rsid w:val="005870CF"/>
    <w:rsid w:val="005B5CD7"/>
    <w:rsid w:val="005D16BF"/>
    <w:rsid w:val="005D2D19"/>
    <w:rsid w:val="00650819"/>
    <w:rsid w:val="00677963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7C4C92"/>
    <w:rsid w:val="00821596"/>
    <w:rsid w:val="00885E98"/>
    <w:rsid w:val="009473F0"/>
    <w:rsid w:val="009C42C1"/>
    <w:rsid w:val="00A624F3"/>
    <w:rsid w:val="00AE7504"/>
    <w:rsid w:val="00AF7020"/>
    <w:rsid w:val="00B126E5"/>
    <w:rsid w:val="00B5273D"/>
    <w:rsid w:val="00B70A4B"/>
    <w:rsid w:val="00BF5E5C"/>
    <w:rsid w:val="00C478C6"/>
    <w:rsid w:val="00C75321"/>
    <w:rsid w:val="00C94D45"/>
    <w:rsid w:val="00D06F2C"/>
    <w:rsid w:val="00D73362"/>
    <w:rsid w:val="00D95701"/>
    <w:rsid w:val="00E6036C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58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7</cp:revision>
  <cp:lastPrinted>2021-01-31T12:28:00Z</cp:lastPrinted>
  <dcterms:created xsi:type="dcterms:W3CDTF">2021-02-02T07:55:00Z</dcterms:created>
  <dcterms:modified xsi:type="dcterms:W3CDTF">2021-02-16T19:29:00Z</dcterms:modified>
</cp:coreProperties>
</file>