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2A684C" w:rsidP="009C42C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علم المعاجم 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D623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ARB2</w:t>
            </w:r>
            <w:r w:rsidR="00D623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13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F260D5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770751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الرابع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536A9E" w:rsidRPr="00536A9E" w:rsidRDefault="00536A9E" w:rsidP="00536A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36A9E">
              <w:rPr>
                <w:rFonts w:asciiTheme="majorBidi" w:hAnsiTheme="majorBidi" w:cstheme="majorBidi"/>
                <w:rtl/>
              </w:rPr>
              <w:t xml:space="preserve">يهتم المقرر بدراسة جهود علماء العربية في تدوين اللغة، وأهم المدارس المعجمية، وخصائصها، والموازنة بينها من حيث نقاط القوة والضعف، ومنهج كل مدرسة في ترتيب المادة اللغوية، وأشهر </w:t>
            </w:r>
            <w:r w:rsidR="00246D79">
              <w:rPr>
                <w:rFonts w:asciiTheme="majorBidi" w:hAnsiTheme="majorBidi" w:cstheme="majorBidi"/>
                <w:rtl/>
              </w:rPr>
              <w:t>المعاجم في كل مدرسة</w:t>
            </w:r>
            <w:r w:rsidR="00246D79">
              <w:rPr>
                <w:rFonts w:asciiTheme="majorBidi" w:hAnsiTheme="majorBidi" w:cstheme="majorBidi" w:hint="cs"/>
                <w:rtl/>
              </w:rPr>
              <w:t>.</w:t>
            </w:r>
          </w:p>
          <w:p w:rsidR="00D73362" w:rsidRPr="007A5BDC" w:rsidRDefault="00D73362" w:rsidP="00536A9E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A9E" w:rsidRPr="00210380" w:rsidRDefault="00536A9E" w:rsidP="00536A9E">
            <w:pPr>
              <w:bidi/>
              <w:spacing w:line="276" w:lineRule="auto"/>
              <w:jc w:val="lowKashida"/>
              <w:rPr>
                <w:rFonts w:asciiTheme="majorBidi" w:hAnsiTheme="majorBidi"/>
              </w:rPr>
            </w:pPr>
            <w:r w:rsidRPr="00210380">
              <w:rPr>
                <w:rFonts w:asciiTheme="majorBidi" w:hAnsiTheme="majorBidi"/>
                <w:rtl/>
              </w:rPr>
              <w:t>ـ يصف جهود اللغويين العرب القدماء في جمع الثروة اللغوية، ومناهج تدوينها.</w:t>
            </w:r>
          </w:p>
          <w:p w:rsidR="00536A9E" w:rsidRPr="00210380" w:rsidRDefault="00536A9E" w:rsidP="00536A9E">
            <w:pPr>
              <w:bidi/>
              <w:spacing w:line="276" w:lineRule="auto"/>
              <w:jc w:val="lowKashida"/>
              <w:rPr>
                <w:rFonts w:asciiTheme="majorBidi" w:hAnsiTheme="majorBidi"/>
              </w:rPr>
            </w:pPr>
            <w:r w:rsidRPr="00210380">
              <w:rPr>
                <w:rFonts w:asciiTheme="majorBidi" w:hAnsiTheme="majorBidi"/>
                <w:rtl/>
              </w:rPr>
              <w:t>ـ يعدد المدارس المعجمية العربية، وخصائص كل مدرسة، وأهم المعاجم التي تنتمي إليها، وطريقة كل مدرسة في ترتيب المادة اللغوية، ومميزات كل طريقة، وعيوبها.</w:t>
            </w:r>
          </w:p>
          <w:p w:rsidR="00536A9E" w:rsidRPr="00210380" w:rsidRDefault="00536A9E" w:rsidP="00536A9E">
            <w:pPr>
              <w:bidi/>
              <w:spacing w:line="276" w:lineRule="auto"/>
              <w:jc w:val="lowKashida"/>
              <w:rPr>
                <w:rFonts w:asciiTheme="majorBidi" w:hAnsiTheme="majorBidi"/>
              </w:rPr>
            </w:pPr>
            <w:r w:rsidRPr="00210380">
              <w:rPr>
                <w:rFonts w:asciiTheme="majorBidi" w:hAnsiTheme="majorBidi"/>
                <w:rtl/>
              </w:rPr>
              <w:t>ـ يوازن بين المدارس المعجمية من حيث نقاط القوة والضعف، والاتفاق والاختلاف.</w:t>
            </w:r>
          </w:p>
          <w:p w:rsidR="00536A9E" w:rsidRPr="00210380" w:rsidRDefault="00536A9E" w:rsidP="00536A9E">
            <w:pPr>
              <w:bidi/>
              <w:spacing w:line="276" w:lineRule="auto"/>
              <w:jc w:val="lowKashida"/>
              <w:rPr>
                <w:rFonts w:asciiTheme="majorBidi" w:hAnsiTheme="majorBidi"/>
              </w:rPr>
            </w:pPr>
            <w:r w:rsidRPr="00210380">
              <w:rPr>
                <w:rFonts w:asciiTheme="majorBidi" w:hAnsiTheme="majorBidi"/>
                <w:rtl/>
              </w:rPr>
              <w:t>ـ يتقن البحث عن المادة اللغوية في كل معجم لغوي من خلال معرفته للمدرسة المعجمية التي ينتمي إليها.</w:t>
            </w:r>
          </w:p>
          <w:p w:rsidR="00536A9E" w:rsidRPr="00210380" w:rsidRDefault="00536A9E" w:rsidP="00246D79">
            <w:pPr>
              <w:bidi/>
              <w:spacing w:line="276" w:lineRule="auto"/>
              <w:jc w:val="both"/>
              <w:rPr>
                <w:rFonts w:asciiTheme="majorBidi" w:hAnsiTheme="majorBidi"/>
              </w:rPr>
            </w:pPr>
            <w:r w:rsidRPr="00210380">
              <w:rPr>
                <w:rFonts w:asciiTheme="majorBidi" w:hAnsiTheme="majorBidi"/>
                <w:rtl/>
              </w:rPr>
              <w:t>ـ يتحمل مسؤولية تعلمه الذاتي، ونموه المهني والشخصي والأخلاقي .</w:t>
            </w:r>
          </w:p>
          <w:p w:rsidR="00D73362" w:rsidRPr="007A5BDC" w:rsidRDefault="00536A9E" w:rsidP="00246D79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210380">
              <w:rPr>
                <w:rFonts w:asciiTheme="majorBidi" w:hAnsiTheme="majorBidi"/>
                <w:rtl/>
              </w:rPr>
              <w:t>ـ يوظف تقنية المعلومات في البحث عن المادة اللغوية في المعاجم العربية، وجمع وتحليل البيانات والموضوعات والمجالات ذات الصلة.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lastRenderedPageBreak/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246D7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246D7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6C2174" w:rsidRDefault="00D73362" w:rsidP="00DB7F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6C2174">
              <w:rPr>
                <w:rFonts w:asciiTheme="majorBidi" w:hAnsiTheme="majorBidi" w:cstheme="majorBidi"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23D35" w:rsidRPr="007A5BDC" w:rsidTr="00246D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23D35" w:rsidRPr="007A5BDC" w:rsidRDefault="00123D35" w:rsidP="00123D35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23D35" w:rsidRPr="006C2174" w:rsidRDefault="00123D35" w:rsidP="00123D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C2174">
              <w:rPr>
                <w:rFonts w:asciiTheme="majorBidi" w:hAnsiTheme="majorBidi" w:cstheme="majorBidi" w:hint="cs"/>
                <w:rtl/>
              </w:rPr>
              <w:t>يعدد المدارس المعجمية المختلفة ويصف مناهجها ويذكر المعاجم التي تنتمي إلى كل مدرسة.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23D35" w:rsidRPr="00381586" w:rsidRDefault="00123D35" w:rsidP="00123D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 xml:space="preserve">ع 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23D35" w:rsidRPr="007A5BDC" w:rsidTr="00246D7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23D35" w:rsidRPr="007A5BDC" w:rsidRDefault="00123D35" w:rsidP="00123D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123D35" w:rsidRPr="006C2174" w:rsidRDefault="00123D35" w:rsidP="00123D3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6C2174">
              <w:rPr>
                <w:rFonts w:asciiTheme="majorBidi" w:hAnsiTheme="majorBidi" w:cstheme="majorBidi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123D35" w:rsidRPr="007A5BDC" w:rsidRDefault="00123D35" w:rsidP="00123D3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23D35" w:rsidRPr="007A5BDC" w:rsidTr="00246D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23D35" w:rsidRPr="007A5BDC" w:rsidRDefault="00123D35" w:rsidP="00123D35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23D35" w:rsidRPr="006C2174" w:rsidRDefault="00123D35" w:rsidP="00123D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C2174">
              <w:rPr>
                <w:rFonts w:asciiTheme="majorBidi" w:hAnsiTheme="majorBidi" w:hint="cs"/>
                <w:rtl/>
              </w:rPr>
              <w:t xml:space="preserve">الكشف عن مواضع الكلمات </w:t>
            </w:r>
            <w:r w:rsidRPr="006C2174">
              <w:rPr>
                <w:rFonts w:asciiTheme="majorBidi" w:hAnsiTheme="majorBidi"/>
                <w:rtl/>
              </w:rPr>
              <w:t xml:space="preserve">في كل معجم لغوي </w:t>
            </w:r>
            <w:r w:rsidRPr="006C2174">
              <w:rPr>
                <w:rFonts w:asciiTheme="majorBidi" w:hAnsiTheme="majorBidi" w:hint="cs"/>
                <w:rtl/>
              </w:rPr>
              <w:t xml:space="preserve">واستخراجها وترتيبها وفق منهج المدرسة المعجمية </w:t>
            </w:r>
            <w:r w:rsidRPr="006C2174">
              <w:rPr>
                <w:rFonts w:asciiTheme="majorBidi" w:hAnsiTheme="majorBidi"/>
                <w:rtl/>
              </w:rPr>
              <w:t>التي ينتمي إليها.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3D35" w:rsidRPr="00381586" w:rsidRDefault="00123D35" w:rsidP="00123D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 xml:space="preserve">م 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123D35" w:rsidRPr="007A5BDC" w:rsidTr="00246D7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23D35" w:rsidRPr="007A5BDC" w:rsidRDefault="00123D35" w:rsidP="00123D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123D35" w:rsidRPr="007A5BDC" w:rsidRDefault="00123D35" w:rsidP="00123D3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123D35" w:rsidRPr="007A5BDC" w:rsidRDefault="00123D35" w:rsidP="00123D3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23D35" w:rsidRPr="007A5BDC" w:rsidTr="00246D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23D35" w:rsidRPr="007A5BDC" w:rsidRDefault="00123D35" w:rsidP="00123D35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D62FF" w:rsidRPr="000D62FF" w:rsidRDefault="00246D79" w:rsidP="000D62F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إظهار الثقة بالنفس والقدرة على القيادة.</w:t>
            </w:r>
          </w:p>
          <w:p w:rsidR="00123D35" w:rsidRPr="007A5BDC" w:rsidRDefault="00123D35" w:rsidP="000D62F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23D35" w:rsidRPr="007A5BDC" w:rsidRDefault="00123D35" w:rsidP="00246D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246D79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7B5196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83104D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تعريف علم المعاجم لغة </w:t>
            </w:r>
            <w:r>
              <w:rPr>
                <w:rFonts w:asciiTheme="majorBidi" w:hAnsiTheme="majorBidi" w:cstheme="majorBidi" w:hint="cs"/>
                <w:rtl/>
              </w:rPr>
              <w:t>واصطلاحا</w:t>
            </w:r>
            <w:r w:rsidRPr="007B5196">
              <w:rPr>
                <w:rFonts w:asciiTheme="majorBidi" w:hAnsiTheme="majorBidi" w:cstheme="majorBidi" w:hint="cs"/>
                <w:rtl/>
              </w:rPr>
              <w:t>،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B5196">
              <w:rPr>
                <w:rFonts w:asciiTheme="majorBidi" w:hAnsiTheme="majorBidi" w:cstheme="majorBidi" w:hint="cs"/>
                <w:rtl/>
              </w:rPr>
              <w:t>نشأة</w:t>
            </w:r>
            <w:r>
              <w:rPr>
                <w:rFonts w:asciiTheme="majorBidi" w:hAnsiTheme="majorBidi" w:cstheme="majorBidi" w:hint="cs"/>
                <w:rtl/>
              </w:rPr>
              <w:t xml:space="preserve"> الفكر المعجمي عند غير العرب.</w:t>
            </w:r>
            <w:r w:rsidR="007B5196" w:rsidRPr="007B519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83104D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نشأة الفكر المعجمي عند العرب.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83104D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المعاجم المجنسة والمعاجم المبوبة، المدارس المعجمية</w:t>
            </w:r>
            <w:r w:rsidR="007B5196" w:rsidRPr="007B5196">
              <w:rPr>
                <w:rFonts w:asciiTheme="majorBidi" w:hAnsiTheme="majorBidi" w:cstheme="majorBidi" w:hint="cs"/>
                <w:rtl/>
              </w:rPr>
              <w:t xml:space="preserve">: مدرسة التقليبات الصوتية.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العين للخليل بن أحمد.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تهذيب اللغة للأزهري.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مدرسة التقليبات الهجائية :جمهرة اللغة لابن دريد.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مدرسة القافية :تاج اللغة وصحاح العربية للجوهري.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القاموس المحيط للفيروزآبادي.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83104D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مدرسة الهجائية العادية: أساس البلاغة للزمخشري.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المصباح المنير ل</w:t>
            </w:r>
            <w:r w:rsidR="0083104D">
              <w:rPr>
                <w:rFonts w:asciiTheme="majorBidi" w:hAnsiTheme="majorBidi" w:cstheme="majorBidi" w:hint="cs"/>
                <w:rtl/>
              </w:rPr>
              <w:t>لفيومي، وعيوب المعاجم القديمة.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المعاجم اللبناني</w:t>
            </w:r>
            <w:r w:rsidRPr="007B5196">
              <w:rPr>
                <w:rFonts w:asciiTheme="majorBidi" w:hAnsiTheme="majorBidi" w:cstheme="majorBidi" w:hint="eastAsia"/>
                <w:rtl/>
              </w:rPr>
              <w:t>ة</w:t>
            </w:r>
            <w:r w:rsidR="0083104D">
              <w:rPr>
                <w:rFonts w:asciiTheme="majorBidi" w:hAnsiTheme="majorBidi" w:cstheme="majorBidi" w:hint="cs"/>
                <w:rtl/>
              </w:rPr>
              <w:t>: محيط المحيط للبستاني</w:t>
            </w:r>
            <w:r w:rsidRPr="007B5196">
              <w:rPr>
                <w:rFonts w:asciiTheme="majorBidi" w:hAnsiTheme="majorBidi" w:cstheme="majorBidi" w:hint="cs"/>
                <w:rtl/>
              </w:rPr>
              <w:t>، أقرب الموارد في فص</w:t>
            </w:r>
            <w:r w:rsidR="0083104D">
              <w:rPr>
                <w:rFonts w:asciiTheme="majorBidi" w:hAnsiTheme="majorBidi" w:cstheme="majorBidi" w:hint="cs"/>
                <w:rtl/>
              </w:rPr>
              <w:t>ي</w:t>
            </w:r>
            <w:r w:rsidRPr="007B5196">
              <w:rPr>
                <w:rFonts w:asciiTheme="majorBidi" w:hAnsiTheme="majorBidi" w:cstheme="majorBidi" w:hint="cs"/>
                <w:rtl/>
              </w:rPr>
              <w:t>ح ال</w:t>
            </w:r>
            <w:r w:rsidR="0083104D">
              <w:rPr>
                <w:rFonts w:asciiTheme="majorBidi" w:hAnsiTheme="majorBidi" w:cstheme="majorBidi" w:hint="cs"/>
                <w:rtl/>
              </w:rPr>
              <w:t xml:space="preserve">عربية </w:t>
            </w:r>
            <w:proofErr w:type="spellStart"/>
            <w:r w:rsidR="0083104D">
              <w:rPr>
                <w:rFonts w:asciiTheme="majorBidi" w:hAnsiTheme="majorBidi" w:cstheme="majorBidi" w:hint="cs"/>
                <w:rtl/>
              </w:rPr>
              <w:t>للشرتوني</w:t>
            </w:r>
            <w:proofErr w:type="spellEnd"/>
            <w:r w:rsidR="0083104D">
              <w:rPr>
                <w:rFonts w:asciiTheme="majorBidi" w:hAnsiTheme="majorBidi" w:cstheme="majorBidi" w:hint="cs"/>
                <w:rtl/>
              </w:rPr>
              <w:t xml:space="preserve">، المنجد </w:t>
            </w:r>
            <w:proofErr w:type="spellStart"/>
            <w:r w:rsidR="0083104D">
              <w:rPr>
                <w:rFonts w:asciiTheme="majorBidi" w:hAnsiTheme="majorBidi" w:cstheme="majorBidi" w:hint="cs"/>
                <w:rtl/>
              </w:rPr>
              <w:t>لليسوعي</w:t>
            </w:r>
            <w:proofErr w:type="spellEnd"/>
            <w:r w:rsidR="0083104D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مجمع اللغة العربي</w:t>
            </w:r>
            <w:r w:rsidR="0083104D">
              <w:rPr>
                <w:rFonts w:asciiTheme="majorBidi" w:hAnsiTheme="majorBidi" w:cstheme="majorBidi" w:hint="cs"/>
                <w:rtl/>
              </w:rPr>
              <w:t>ة بالقاهرة وأهم أعماله المعجمية</w:t>
            </w:r>
            <w:r w:rsidRPr="007B5196">
              <w:rPr>
                <w:rFonts w:asciiTheme="majorBidi" w:hAnsiTheme="majorBidi" w:cstheme="majorBidi" w:hint="cs"/>
                <w:rtl/>
              </w:rPr>
              <w:t>: المعجم التاريخي ـ المعجم الكبير ـ المعجم الوسيط ـ المعجم الوجيز.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أسس وضع معاجم حديثة.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96" w:rsidRPr="007B5196" w:rsidRDefault="007B5196" w:rsidP="007B51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B5196">
              <w:rPr>
                <w:rFonts w:asciiTheme="majorBidi" w:hAnsiTheme="majorBidi" w:cstheme="majorBidi" w:hint="cs"/>
                <w:rtl/>
              </w:rPr>
              <w:t>عيوب المعاجم العربية</w:t>
            </w:r>
            <w:r w:rsidR="0083104D">
              <w:rPr>
                <w:rFonts w:asciiTheme="majorBidi" w:hAnsiTheme="majorBidi" w:cstheme="majorBidi" w:hint="cs"/>
                <w:rtl/>
              </w:rPr>
              <w:t>.</w:t>
            </w:r>
            <w:r w:rsidRPr="007B519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5196" w:rsidRPr="00381586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B5196" w:rsidRPr="007A5BDC" w:rsidTr="007B5196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43"/>
        <w:gridCol w:w="2394"/>
        <w:gridCol w:w="16"/>
        <w:gridCol w:w="2268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gridSpan w:val="2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gridSpan w:val="2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7B5196" w:rsidRPr="007A5BDC" w:rsidTr="001E6725">
        <w:trPr>
          <w:trHeight w:val="1104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7B5196" w:rsidRPr="007A5BDC" w:rsidRDefault="007B5196" w:rsidP="007B519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  <w:p w:rsidR="007B5196" w:rsidRPr="007A5BDC" w:rsidRDefault="007B5196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7B5196" w:rsidRPr="006C2174" w:rsidRDefault="007B5196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6C2174">
              <w:rPr>
                <w:rFonts w:asciiTheme="majorBidi" w:hAnsiTheme="majorBidi" w:cstheme="majorBidi" w:hint="cs"/>
                <w:rtl/>
              </w:rPr>
              <w:t>تعداد المدارس المعجمية المختلفة ويصف مناهجها وذكر المعاجم التي تنتمي إلى كل مدرسة.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vAlign w:val="center"/>
          </w:tcPr>
          <w:p w:rsidR="007B5196" w:rsidRPr="00BF5E5C" w:rsidRDefault="007B5196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7B5196" w:rsidRPr="00BF5E5C" w:rsidRDefault="007B5196" w:rsidP="000B67ED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7B5196" w:rsidRPr="00BF5E5C" w:rsidRDefault="007B5196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7B5196" w:rsidRPr="007A5BDC" w:rsidRDefault="007B5196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vAlign w:val="center"/>
          </w:tcPr>
          <w:p w:rsidR="007B5196" w:rsidRPr="00BF5E5C" w:rsidRDefault="007B519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7B5196" w:rsidRPr="00BF5E5C" w:rsidRDefault="007B5196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7B5196" w:rsidRPr="007A5BDC" w:rsidRDefault="007B5196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64D09" w:rsidRPr="007A5BDC" w:rsidTr="00064D0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4D09" w:rsidRPr="007A5BDC" w:rsidRDefault="00064D09" w:rsidP="00064D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م1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4D09" w:rsidRPr="007A5BDC" w:rsidRDefault="00064D09" w:rsidP="00064D0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C2174">
              <w:rPr>
                <w:rFonts w:asciiTheme="majorBidi" w:hAnsiTheme="majorBidi" w:hint="cs"/>
                <w:rtl/>
              </w:rPr>
              <w:t xml:space="preserve">الكشف عن مواضع الكلمات </w:t>
            </w:r>
            <w:r w:rsidRPr="006C2174">
              <w:rPr>
                <w:rFonts w:asciiTheme="majorBidi" w:hAnsiTheme="majorBidi"/>
                <w:rtl/>
              </w:rPr>
              <w:t xml:space="preserve">في كل معجم لغوي </w:t>
            </w:r>
            <w:r w:rsidRPr="006C2174">
              <w:rPr>
                <w:rFonts w:asciiTheme="majorBidi" w:hAnsiTheme="majorBidi" w:hint="cs"/>
                <w:rtl/>
              </w:rPr>
              <w:t xml:space="preserve">واستخراجها وترتيبها وفق منهج المدرسة المعجمية </w:t>
            </w:r>
            <w:r w:rsidRPr="006C2174">
              <w:rPr>
                <w:rFonts w:asciiTheme="majorBidi" w:hAnsiTheme="majorBidi"/>
                <w:rtl/>
              </w:rPr>
              <w:t>التي ينتمي إليها.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4D09" w:rsidRPr="00BF5E5C" w:rsidRDefault="00064D09" w:rsidP="00064D09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064D09" w:rsidRPr="00BF5E5C" w:rsidRDefault="00064D09" w:rsidP="00064D09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064D09" w:rsidRPr="00BF5E5C" w:rsidRDefault="00064D09" w:rsidP="00064D09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064D09" w:rsidRPr="007A5BDC" w:rsidRDefault="00064D09" w:rsidP="00064D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4D09" w:rsidRPr="00BF5E5C" w:rsidRDefault="00064D09" w:rsidP="00064D0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064D09" w:rsidRPr="00BF5E5C" w:rsidRDefault="00064D09" w:rsidP="00064D0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064D09" w:rsidRPr="007A5BDC" w:rsidRDefault="00064D09" w:rsidP="00064D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6C2174"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Pr="007A5BDC" w:rsidRDefault="006C2174" w:rsidP="0083104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83104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4D" w:rsidRPr="000D62FF" w:rsidRDefault="0083104D" w:rsidP="0083104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إظهار الثقة بالنفس والقدرة على القيادة.</w:t>
            </w:r>
          </w:p>
          <w:p w:rsidR="00D73362" w:rsidRPr="0083104D" w:rsidRDefault="00D73362" w:rsidP="006C217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lastRenderedPageBreak/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A175B7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7A5BDC" w:rsidRDefault="00064D09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في</w:t>
            </w:r>
            <w:r w:rsidR="006C2174">
              <w:rPr>
                <w:rFonts w:asciiTheme="majorBidi" w:hAnsiTheme="majorBidi" w:cstheme="majorBidi" w:hint="cs"/>
                <w:rtl/>
              </w:rPr>
              <w:t xml:space="preserve"> المعاجم اللغوية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 w:rsidR="006C2174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د. عثمان محمد أحمد الحاوي، </w:t>
            </w:r>
            <w:r w:rsidR="006C2174">
              <w:rPr>
                <w:rFonts w:asciiTheme="majorBidi" w:hAnsiTheme="majorBidi" w:cstheme="majorBidi" w:hint="cs"/>
                <w:rtl/>
              </w:rPr>
              <w:t>د. محمد سعد البغدادي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="006C2174">
              <w:rPr>
                <w:rFonts w:asciiTheme="majorBidi" w:hAnsiTheme="majorBidi" w:cstheme="majorBidi" w:hint="cs"/>
                <w:rtl/>
              </w:rPr>
              <w:t xml:space="preserve"> ط مكتبة المتنبي 2006م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D73362" w:rsidRPr="007A5BDC" w:rsidTr="00A175B7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6C2174" w:rsidRPr="0078442C" w:rsidRDefault="006C2174" w:rsidP="006C2174">
            <w:pPr>
              <w:bidi/>
              <w:jc w:val="lowKashida"/>
              <w:rPr>
                <w:rFonts w:asciiTheme="majorBidi" w:hAnsiTheme="majorBidi" w:cstheme="majorBidi"/>
                <w:b/>
              </w:rPr>
            </w:pPr>
            <w:r w:rsidRPr="0078442C">
              <w:rPr>
                <w:rFonts w:asciiTheme="majorBidi" w:hAnsiTheme="majorBidi" w:hint="cs"/>
                <w:b/>
                <w:rtl/>
              </w:rPr>
              <w:t xml:space="preserve">1ـ </w:t>
            </w:r>
            <w:r w:rsidRPr="0078442C">
              <w:rPr>
                <w:rFonts w:asciiTheme="majorBidi" w:hAnsiTheme="majorBidi"/>
                <w:b/>
                <w:rtl/>
              </w:rPr>
              <w:t>المعجم العربي، نشأته وتطوره</w:t>
            </w:r>
            <w:r w:rsidRPr="0078442C">
              <w:rPr>
                <w:rFonts w:asciiTheme="majorBidi" w:hAnsiTheme="majorBidi" w:hint="cs"/>
                <w:b/>
                <w:rtl/>
              </w:rPr>
              <w:t>،</w:t>
            </w:r>
            <w:r w:rsidR="00064D09" w:rsidRPr="0078442C">
              <w:rPr>
                <w:rFonts w:asciiTheme="majorBidi" w:hAnsiTheme="majorBidi" w:hint="cs"/>
                <w:b/>
                <w:rtl/>
              </w:rPr>
              <w:t xml:space="preserve"> د/</w:t>
            </w:r>
            <w:r w:rsidR="00064D09" w:rsidRPr="0078442C">
              <w:rPr>
                <w:rFonts w:asciiTheme="majorBidi" w:hAnsiTheme="majorBidi"/>
                <w:b/>
                <w:rtl/>
              </w:rPr>
              <w:t>حسين نصار</w:t>
            </w:r>
            <w:r w:rsidR="00064D09" w:rsidRPr="0078442C">
              <w:rPr>
                <w:rFonts w:asciiTheme="majorBidi" w:hAnsiTheme="majorBidi" w:hint="cs"/>
                <w:b/>
                <w:rtl/>
              </w:rPr>
              <w:t xml:space="preserve">. </w:t>
            </w:r>
            <w:r w:rsidRPr="0078442C">
              <w:rPr>
                <w:rFonts w:asciiTheme="majorBidi" w:hAnsiTheme="majorBidi"/>
                <w:b/>
                <w:rtl/>
              </w:rPr>
              <w:t>دار مصر للطباعة</w:t>
            </w:r>
            <w:r w:rsidRPr="0078442C">
              <w:rPr>
                <w:rFonts w:asciiTheme="majorBidi" w:hAnsiTheme="majorBidi"/>
                <w:b/>
                <w:rtl/>
              </w:rPr>
              <w:tab/>
              <w:t>1988م</w:t>
            </w:r>
            <w:r w:rsidR="00064D09" w:rsidRPr="0078442C">
              <w:rPr>
                <w:rFonts w:asciiTheme="majorBidi" w:hAnsiTheme="majorBidi" w:cstheme="majorBidi" w:hint="cs"/>
                <w:b/>
                <w:rtl/>
              </w:rPr>
              <w:t>.</w:t>
            </w:r>
          </w:p>
          <w:p w:rsidR="00283D73" w:rsidRPr="0078442C" w:rsidRDefault="006C2174" w:rsidP="006C2174">
            <w:pPr>
              <w:bidi/>
              <w:jc w:val="lowKashida"/>
              <w:rPr>
                <w:rFonts w:asciiTheme="majorBidi" w:hAnsiTheme="majorBidi" w:cstheme="majorBidi"/>
                <w:b/>
              </w:rPr>
            </w:pPr>
            <w:r w:rsidRPr="0078442C">
              <w:rPr>
                <w:rFonts w:asciiTheme="majorBidi" w:hAnsiTheme="majorBidi" w:hint="cs"/>
                <w:b/>
                <w:rtl/>
              </w:rPr>
              <w:t xml:space="preserve">2ــ </w:t>
            </w:r>
            <w:r w:rsidRPr="0078442C">
              <w:rPr>
                <w:rFonts w:asciiTheme="majorBidi" w:hAnsiTheme="majorBidi"/>
                <w:b/>
                <w:rtl/>
              </w:rPr>
              <w:t>المعجم العربي وعلم الدلالة</w:t>
            </w:r>
            <w:r w:rsidRPr="0078442C">
              <w:rPr>
                <w:rFonts w:asciiTheme="majorBidi" w:hAnsiTheme="majorBidi" w:hint="cs"/>
                <w:b/>
                <w:rtl/>
              </w:rPr>
              <w:t>،</w:t>
            </w:r>
            <w:r w:rsidR="00064D09" w:rsidRPr="0078442C">
              <w:rPr>
                <w:rFonts w:asciiTheme="majorBidi" w:hAnsiTheme="majorBidi" w:hint="cs"/>
                <w:b/>
                <w:rtl/>
              </w:rPr>
              <w:t xml:space="preserve"> </w:t>
            </w:r>
            <w:r w:rsidRPr="0078442C">
              <w:rPr>
                <w:rFonts w:asciiTheme="majorBidi" w:hAnsiTheme="majorBidi"/>
                <w:b/>
                <w:rtl/>
              </w:rPr>
              <w:t>حماد محمد وآخرون</w:t>
            </w:r>
            <w:r w:rsidRPr="0078442C">
              <w:rPr>
                <w:rFonts w:asciiTheme="majorBidi" w:hAnsiTheme="majorBidi" w:hint="cs"/>
                <w:b/>
                <w:rtl/>
              </w:rPr>
              <w:t>،</w:t>
            </w:r>
            <w:r w:rsidR="00064D09" w:rsidRPr="0078442C">
              <w:rPr>
                <w:rFonts w:asciiTheme="majorBidi" w:hAnsiTheme="majorBidi" w:hint="cs"/>
                <w:b/>
                <w:rtl/>
              </w:rPr>
              <w:t xml:space="preserve"> </w:t>
            </w:r>
            <w:r w:rsidRPr="0078442C">
              <w:rPr>
                <w:rFonts w:asciiTheme="majorBidi" w:hAnsiTheme="majorBidi"/>
                <w:b/>
                <w:rtl/>
              </w:rPr>
              <w:t>دار النشر الدولي</w:t>
            </w:r>
            <w:r w:rsidRPr="0078442C">
              <w:rPr>
                <w:rFonts w:asciiTheme="majorBidi" w:hAnsiTheme="majorBidi"/>
                <w:b/>
                <w:rtl/>
              </w:rPr>
              <w:tab/>
              <w:t>1424 هـ</w:t>
            </w:r>
            <w:r w:rsidR="00064D09" w:rsidRPr="0078442C">
              <w:rPr>
                <w:rFonts w:asciiTheme="majorBidi" w:hAnsiTheme="majorBidi" w:cstheme="majorBidi" w:hint="cs"/>
                <w:b/>
                <w:rtl/>
              </w:rPr>
              <w:t>.</w:t>
            </w:r>
          </w:p>
        </w:tc>
      </w:tr>
      <w:tr w:rsidR="00A175B7" w:rsidRPr="007A5BDC" w:rsidTr="00A175B7">
        <w:trPr>
          <w:trHeight w:val="736"/>
        </w:trPr>
        <w:tc>
          <w:tcPr>
            <w:tcW w:w="2603" w:type="dxa"/>
            <w:vAlign w:val="center"/>
          </w:tcPr>
          <w:p w:rsidR="00A175B7" w:rsidRPr="007A5BDC" w:rsidRDefault="00A175B7" w:rsidP="00A175B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http://www.al-mostafa.com/index.htm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مكتبة المصطفى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http://www.alwaraq.net/index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/>
                <w:rtl/>
              </w:rPr>
              <w:tab/>
              <w:t>موقع الوراق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http://www.almeshkat.net/books/index.php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مكتبة مشكاة الإسلام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http://www.imamu.edu.sa/arabiyah</w:t>
            </w:r>
            <w:r w:rsidRPr="0078442C">
              <w:rPr>
                <w:rFonts w:asciiTheme="majorBidi" w:hAnsiTheme="majorBidi" w:cstheme="majorBidi"/>
                <w:bCs/>
                <w:rtl/>
              </w:rPr>
              <w:t>/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الجمعية العلمية السعودية للغة العربية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http://www.alukah.net</w:t>
            </w:r>
            <w:r w:rsidRPr="0078442C">
              <w:rPr>
                <w:rFonts w:asciiTheme="majorBidi" w:hAnsiTheme="majorBidi" w:cstheme="majorBidi"/>
                <w:bCs/>
                <w:rtl/>
              </w:rPr>
              <w:t>/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الألوكة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http://www.iwan.fajjal.com</w:t>
            </w:r>
            <w:r w:rsidRPr="0078442C">
              <w:rPr>
                <w:rFonts w:asciiTheme="majorBidi" w:hAnsiTheme="majorBidi" w:cstheme="majorBidi"/>
                <w:bCs/>
                <w:rtl/>
              </w:rPr>
              <w:t>/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الإيوان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http://www.alarabiyah.ws</w:t>
            </w:r>
            <w:r w:rsidRPr="0078442C">
              <w:rPr>
                <w:rFonts w:asciiTheme="majorBidi" w:hAnsiTheme="majorBidi" w:cstheme="majorBidi"/>
                <w:bCs/>
                <w:rtl/>
              </w:rPr>
              <w:t>/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صوت العربية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78442C">
              <w:rPr>
                <w:rFonts w:asciiTheme="majorBidi" w:hAnsiTheme="majorBidi" w:cstheme="majorBidi"/>
                <w:bCs/>
              </w:rPr>
              <w:t>http://www.alfaseeh.com/vb/index.php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/>
              </w:rPr>
            </w:pPr>
            <w:r w:rsidRPr="0078442C">
              <w:rPr>
                <w:rFonts w:asciiTheme="majorBidi" w:hAnsiTheme="majorBidi" w:cstheme="majorBidi"/>
                <w:bCs/>
                <w:rtl/>
              </w:rPr>
              <w:t>•</w:t>
            </w:r>
            <w:r w:rsidRPr="0078442C">
              <w:rPr>
                <w:rFonts w:asciiTheme="majorBidi" w:hAnsiTheme="majorBidi" w:cstheme="majorBidi"/>
                <w:bCs/>
                <w:rtl/>
              </w:rPr>
              <w:tab/>
            </w:r>
            <w:r w:rsidRPr="0078442C">
              <w:rPr>
                <w:rFonts w:asciiTheme="majorBidi" w:hAnsiTheme="majorBidi" w:cstheme="majorBidi"/>
                <w:b/>
                <w:rtl/>
              </w:rPr>
              <w:t>شبكة الفصيح</w:t>
            </w:r>
          </w:p>
          <w:p w:rsidR="00A175B7" w:rsidRPr="0078442C" w:rsidRDefault="00A175B7" w:rsidP="00A175B7">
            <w:pPr>
              <w:bidi/>
              <w:jc w:val="lowKashida"/>
              <w:rPr>
                <w:rFonts w:asciiTheme="majorBidi" w:hAnsiTheme="majorBidi" w:cstheme="majorBidi"/>
                <w:b/>
              </w:rPr>
            </w:pPr>
          </w:p>
        </w:tc>
      </w:tr>
      <w:tr w:rsidR="00A175B7" w:rsidRPr="007A5BDC" w:rsidTr="00A175B7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A175B7" w:rsidRPr="007A5BDC" w:rsidRDefault="00A175B7" w:rsidP="00A175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A175B7" w:rsidRPr="007A5BDC" w:rsidRDefault="00A175B7" w:rsidP="00A175B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A175B7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 xml:space="preserve">قاعة دراسية 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175B7" w:rsidRPr="00755AAC" w:rsidRDefault="00A175B7" w:rsidP="00A175B7">
            <w:pPr>
              <w:ind w:left="1080"/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معاجم لغوية للتطبيق عليها</w:t>
            </w:r>
            <w:r w:rsidR="0078442C">
              <w:rPr>
                <w:rFonts w:asciiTheme="majorBidi" w:eastAsia="Calibri" w:hAnsiTheme="majorBidi" w:cstheme="majorBidi" w:hint="cs"/>
                <w:rtl/>
              </w:rPr>
              <w:t>.</w:t>
            </w:r>
            <w:r>
              <w:rPr>
                <w:rFonts w:asciiTheme="majorBidi" w:eastAsia="Calibri" w:hAnsiTheme="majorBidi" w:cstheme="majorBidi" w:hint="cs"/>
                <w:rtl/>
              </w:rPr>
              <w:t xml:space="preserve"> </w:t>
            </w:r>
          </w:p>
          <w:p w:rsidR="00D73362" w:rsidRPr="00755AAC" w:rsidRDefault="00D73362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770751" w:rsidP="007707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770751" w:rsidP="007707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  <w:bookmarkStart w:id="35" w:name="_GoBack"/>
      <w:bookmarkEnd w:id="35"/>
    </w:p>
    <w:sectPr w:rsidR="00821596" w:rsidRPr="007A5BDC" w:rsidSect="00AE7860">
      <w:footerReference w:type="even" r:id="rId7"/>
      <w:footerReference w:type="default" r:id="rId8"/>
      <w:headerReference w:type="first" r:id="rId9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D5" w:rsidRDefault="00F260D5">
      <w:r>
        <w:separator/>
      </w:r>
    </w:p>
  </w:endnote>
  <w:endnote w:type="continuationSeparator" w:id="0">
    <w:p w:rsidR="00F260D5" w:rsidRDefault="00F2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F260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7075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77075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D5" w:rsidRDefault="00F260D5">
      <w:r>
        <w:separator/>
      </w:r>
    </w:p>
  </w:footnote>
  <w:footnote w:type="continuationSeparator" w:id="0">
    <w:p w:rsidR="00F260D5" w:rsidRDefault="00F2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64D09"/>
    <w:rsid w:val="000B67ED"/>
    <w:rsid w:val="000D62FF"/>
    <w:rsid w:val="00123D35"/>
    <w:rsid w:val="00187DD2"/>
    <w:rsid w:val="00196CA6"/>
    <w:rsid w:val="00246D79"/>
    <w:rsid w:val="00271182"/>
    <w:rsid w:val="00283D73"/>
    <w:rsid w:val="002A684C"/>
    <w:rsid w:val="00307249"/>
    <w:rsid w:val="00316F0A"/>
    <w:rsid w:val="00381586"/>
    <w:rsid w:val="003C3FDE"/>
    <w:rsid w:val="00536A9E"/>
    <w:rsid w:val="00544C0D"/>
    <w:rsid w:val="005B5CD7"/>
    <w:rsid w:val="00611CA5"/>
    <w:rsid w:val="00650819"/>
    <w:rsid w:val="00677963"/>
    <w:rsid w:val="006B3554"/>
    <w:rsid w:val="006B4A8F"/>
    <w:rsid w:val="006C2174"/>
    <w:rsid w:val="006E7E01"/>
    <w:rsid w:val="00755AAC"/>
    <w:rsid w:val="00756FEF"/>
    <w:rsid w:val="00770751"/>
    <w:rsid w:val="0078442C"/>
    <w:rsid w:val="0079331C"/>
    <w:rsid w:val="007A27D3"/>
    <w:rsid w:val="007A5BDC"/>
    <w:rsid w:val="007A5C1A"/>
    <w:rsid w:val="007B5196"/>
    <w:rsid w:val="00821596"/>
    <w:rsid w:val="0083104D"/>
    <w:rsid w:val="00912A20"/>
    <w:rsid w:val="009473F0"/>
    <w:rsid w:val="009C42C1"/>
    <w:rsid w:val="009F6EA8"/>
    <w:rsid w:val="00A175B7"/>
    <w:rsid w:val="00A60242"/>
    <w:rsid w:val="00A624F3"/>
    <w:rsid w:val="00AE7504"/>
    <w:rsid w:val="00AF7020"/>
    <w:rsid w:val="00B5273D"/>
    <w:rsid w:val="00B70A4B"/>
    <w:rsid w:val="00B816DF"/>
    <w:rsid w:val="00BF5E5C"/>
    <w:rsid w:val="00C478C6"/>
    <w:rsid w:val="00C75321"/>
    <w:rsid w:val="00C94D45"/>
    <w:rsid w:val="00D06F2C"/>
    <w:rsid w:val="00D623D1"/>
    <w:rsid w:val="00D73362"/>
    <w:rsid w:val="00D95701"/>
    <w:rsid w:val="00E6036C"/>
    <w:rsid w:val="00F00109"/>
    <w:rsid w:val="00F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13</cp:revision>
  <cp:lastPrinted>2021-01-31T12:28:00Z</cp:lastPrinted>
  <dcterms:created xsi:type="dcterms:W3CDTF">2021-02-02T07:55:00Z</dcterms:created>
  <dcterms:modified xsi:type="dcterms:W3CDTF">2021-02-16T19:28:00Z</dcterms:modified>
</cp:coreProperties>
</file>