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CF" w:rsidRDefault="004307CF" w:rsidP="004307CF">
      <w:pPr>
        <w:pStyle w:val="ar"/>
        <w:bidi/>
        <w:spacing w:before="0" w:beforeAutospacing="0" w:after="0" w:afterAutospacing="0"/>
        <w:rPr>
          <w:rFonts w:hAnsi="Symbol" w:hint="cs"/>
          <w:rtl/>
        </w:rPr>
      </w:pP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hAnsi="Symbol" w:hint="cs"/>
          <w:rtl/>
        </w:rPr>
      </w:pP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hAnsi="Symbol" w:hint="cs"/>
        </w:rPr>
      </w:pP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hAnsi="Symbol"/>
        </w:rPr>
      </w:pP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hAnsi="Symbol"/>
        </w:rPr>
        <w:t></w:t>
      </w:r>
      <w:r>
        <w:rPr>
          <w:rFonts w:hAnsi="Symbol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1"/>
          <w:szCs w:val="21"/>
          <w:rtl/>
        </w:rPr>
        <w:t>بيئات التعلم الإلكتروني المتعددة.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معدات وأنظمة التعلم الإلكتروني الحديثة.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التوجهات المستقبلية لتقنيات التعلم الإلكتروني.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التعلم باستخدام الشبكة العنكبوتية.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أنظمة إدارة التعلم الإلكتروني.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الفصول الذكية وأدواتها.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أنظمة حماية وخصوصية بنية التعلم الإلكتروني.</w:t>
      </w:r>
    </w:p>
    <w:p w:rsidR="004307CF" w:rsidRDefault="004307CF" w:rsidP="004307CF">
      <w:pPr>
        <w:pStyle w:val="ar"/>
        <w:bidi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الأنظمة والأدوات الخاصة بذوي الإعاقات وصعوبات التعلم.</w:t>
      </w:r>
    </w:p>
    <w:p w:rsidR="00EB6832" w:rsidRDefault="004307CF" w:rsidP="004307CF">
      <w:pPr>
        <w:rPr>
          <w:rFonts w:hint="cs"/>
        </w:rPr>
      </w:pPr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AD"/>
    <w:rsid w:val="00307404"/>
    <w:rsid w:val="004307CF"/>
    <w:rsid w:val="00621CF2"/>
    <w:rsid w:val="00E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307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307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2013-06-26T17:23:00Z</cp:lastPrinted>
  <dcterms:created xsi:type="dcterms:W3CDTF">2013-06-26T17:22:00Z</dcterms:created>
  <dcterms:modified xsi:type="dcterms:W3CDTF">2013-06-26T17:23:00Z</dcterms:modified>
</cp:coreProperties>
</file>