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1"/>
        <w:gridCol w:w="3577"/>
        <w:gridCol w:w="1735"/>
        <w:gridCol w:w="4582"/>
        <w:gridCol w:w="2024"/>
      </w:tblGrid>
      <w:tr w:rsidR="00995AA4" w:rsidRPr="00C414BE" w:rsidTr="00995AA4">
        <w:trPr>
          <w:tblHeader/>
          <w:jc w:val="center"/>
        </w:trPr>
        <w:tc>
          <w:tcPr>
            <w:tcW w:w="15079" w:type="dxa"/>
            <w:gridSpan w:val="5"/>
            <w:vAlign w:val="center"/>
            <w:hideMark/>
          </w:tcPr>
          <w:p w:rsidR="00B67D6D" w:rsidRPr="006F4EDA" w:rsidRDefault="00B67D6D" w:rsidP="00891151">
            <w:pPr>
              <w:widowControl w:val="0"/>
              <w:adjustRightInd w:val="0"/>
              <w:ind w:left="1954" w:hanging="1954"/>
              <w:jc w:val="lowKashida"/>
              <w:textAlignment w:val="baseline"/>
              <w:rPr>
                <w:rFonts w:eastAsiaTheme="minorHAnsi" w:cs="AL-Mateen"/>
                <w:smallCaps w:val="0"/>
                <w:color w:val="00B050"/>
                <w:sz w:val="31"/>
                <w:szCs w:val="31"/>
              </w:rPr>
            </w:pPr>
            <w:r w:rsidRPr="00B67D6D">
              <w:rPr>
                <w:rFonts w:eastAsiaTheme="minorHAnsi" w:cs="AL-Mateen" w:hint="cs"/>
                <w:smallCaps w:val="0"/>
                <w:color w:val="00B050"/>
                <w:sz w:val="31"/>
                <w:szCs w:val="31"/>
                <w:rtl/>
              </w:rPr>
              <w:t>الهدف الاستراتيجي : التوسع في تحقيق التنمية الاقتصادية للجامعة بما يفي بمتطلبات التنمية المستدامة للبيئة المحلية.</w:t>
            </w:r>
          </w:p>
        </w:tc>
      </w:tr>
      <w:tr w:rsidR="00995AA4" w:rsidRPr="00C414BE" w:rsidTr="00334632">
        <w:trPr>
          <w:tblHeader/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الهدف التفصيلي</w:t>
            </w:r>
          </w:p>
        </w:tc>
        <w:tc>
          <w:tcPr>
            <w:tcW w:w="3577" w:type="dxa"/>
            <w:shd w:val="clear" w:color="auto" w:fill="DAEEF3" w:themeFill="accent5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المؤشرات والمقاييس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المستهدف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المبادرات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  <w:hideMark/>
          </w:tcPr>
          <w:p w:rsidR="00995AA4" w:rsidRPr="007E7BC4" w:rsidRDefault="00995AA4" w:rsidP="00891151">
            <w:pPr>
              <w:widowControl w:val="0"/>
              <w:adjustRightInd w:val="0"/>
              <w:jc w:val="center"/>
              <w:textAlignment w:val="baseline"/>
              <w:rPr>
                <w:rFonts w:ascii="Tahoma" w:eastAsiaTheme="minorHAnsi" w:hAnsi="Tahoma" w:cs="AL-Mateen"/>
                <w:color w:val="1F497D" w:themeColor="text2"/>
                <w:sz w:val="27"/>
                <w:szCs w:val="27"/>
              </w:rPr>
            </w:pPr>
            <w:r w:rsidRPr="007E7BC4">
              <w:rPr>
                <w:rFonts w:ascii="Tahoma" w:eastAsiaTheme="minorHAnsi" w:hAnsi="Tahoma" w:cs="AL-Mateen" w:hint="cs"/>
                <w:color w:val="1F497D" w:themeColor="text2"/>
                <w:sz w:val="27"/>
                <w:szCs w:val="27"/>
                <w:rtl/>
              </w:rPr>
              <w:t>الجهة المسؤولة</w:t>
            </w: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B67D6D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(1)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B67D6D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تنمية  الإيرادات المالية للكليات والعماداتفي الميزانية المعتمدة سنوياً .</w:t>
            </w:r>
          </w:p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19"/>
                <w:szCs w:val="19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19"/>
                <w:szCs w:val="19"/>
                <w:rtl/>
              </w:rPr>
              <w:t>عدد مشاركات رجال الأعمال والقطاعات المتخصصة في برامج الجامعة.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19"/>
                <w:szCs w:val="19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19"/>
                <w:szCs w:val="19"/>
                <w:rtl/>
              </w:rPr>
              <w:t>نسب زيادة المخصصات المالية والميزانية بالكلية.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19"/>
                <w:szCs w:val="19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19"/>
                <w:szCs w:val="19"/>
                <w:rtl/>
              </w:rPr>
              <w:t>عدد الكراسي البحثية.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19"/>
                <w:szCs w:val="19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19"/>
                <w:szCs w:val="19"/>
                <w:rtl/>
              </w:rPr>
              <w:t>عدد مراكز التميز والبحوث المدعومة من خارج الكلية.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19"/>
                <w:szCs w:val="19"/>
                <w:rtl/>
              </w:rPr>
              <w:t>عدد الدورات التي تقدم إلى المجتمع المحلي ومؤسساته.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</w:tcPr>
          <w:p w:rsidR="00B67D6D" w:rsidRPr="00B67D6D" w:rsidRDefault="00B67D6D" w:rsidP="009A154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تحقيق نمو</w:t>
            </w:r>
            <w:r w:rsidRPr="00B67D6D"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  <w:t>20% من الميزانية المعتمدة للكلية سنوياً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  <w:rtl/>
              </w:rPr>
            </w:pPr>
          </w:p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تنفيذ دورات حول الاتجاهات الحديثة في البحث وطرق مراسلة المؤسسات الخاصة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9A1545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شئون المكتبات</w:t>
            </w: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B67D6D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(2)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B67D6D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تطوير الخطط المالية والميزانيات .</w:t>
            </w:r>
          </w:p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 xml:space="preserve"> عدد الخطط المالية والميزانيات المعتمدة.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نمو إجمالي الموارد المالية المنفقة على الخدمات العلمية والبحثية والأنشطة في العام الدراسي السابق للخطة.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عدد ورش العمل وحلقات النقاش حول الخطط المالية والميزانيات.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B67D6D" w:rsidRPr="00B67D6D" w:rsidRDefault="00B67D6D" w:rsidP="009A154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خطة مالية لكل كلية وعمادة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عقد ورش عمل  في العمادة  لمناقشة الاحتياجات المالية والموازنات المالية.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B67D6D" w:rsidRPr="00B67D6D" w:rsidRDefault="00B67D6D" w:rsidP="009A154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ميزانية سنوية للعمادة  وإشراك جميع وحدات الإدارية في وضع الميزانية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B67D6D" w:rsidRPr="00B67D6D" w:rsidRDefault="00B67D6D" w:rsidP="009A154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دراسة ميزانيات المشاريع المستقبلية للعمادة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المكتبات</w:t>
            </w: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  <w:rtl/>
              </w:rPr>
            </w:pPr>
            <w:r w:rsidRPr="00B67D6D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(3)</w:t>
            </w:r>
            <w:r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 xml:space="preserve"> </w:t>
            </w:r>
            <w:r w:rsidRPr="00B67D6D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تحسين معدلات الإنفاق في ضوء تحديد الأولويات .</w:t>
            </w:r>
          </w:p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معدل الإنفاق الكلي لميزانية الجامعة  على الوحدات الأكاديمية والإدارية بالجامعة.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مصروفات الأقسام بالنسبة إلى إجمالي ميزانية الكلية أو العمادة.</w:t>
            </w: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تقرير سنوي  تفصيلي لوجه الإنفاق المالي بالكلياتوالعمادات.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إعداد خطة مالية للإنفاق  في العمادة</w:t>
            </w:r>
            <w:r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 xml:space="preserve"> </w:t>
            </w: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مبنية على تحديد الأولويات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B67D6D" w:rsidRPr="00B67D6D" w:rsidRDefault="00B67D6D" w:rsidP="00B67D6D">
            <w:pPr>
              <w:widowControl w:val="0"/>
              <w:adjustRightInd w:val="0"/>
              <w:jc w:val="center"/>
              <w:textAlignment w:val="baseline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B67D6D" w:rsidRPr="00B67D6D" w:rsidRDefault="00B67D6D" w:rsidP="009A154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دراسة تحديد الاحتياجات المالية للعمادة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شؤون المكتبات</w:t>
            </w:r>
          </w:p>
          <w:p w:rsidR="00B67D6D" w:rsidRPr="00B67D6D" w:rsidRDefault="00B67D6D" w:rsidP="00B67D6D">
            <w:pPr>
              <w:widowControl w:val="0"/>
              <w:adjustRightInd w:val="0"/>
              <w:jc w:val="center"/>
              <w:textAlignment w:val="baseline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vMerge w:val="restart"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  <w:r w:rsidRPr="00B67D6D">
              <w:rPr>
                <w:rFonts w:eastAsiaTheme="minorHAnsi" w:cs="AL-Mohanad Bold" w:hint="cs"/>
                <w:smallCaps w:val="0"/>
                <w:color w:val="FF0000"/>
                <w:sz w:val="23"/>
                <w:szCs w:val="23"/>
                <w:rtl/>
              </w:rPr>
              <w:t>(4)-العمل على إكمال اللوائح والتنظيمات والتشريعات  المحددة لآليات استقبال الموارد المالية للكليات و العمادات  وجعلها متاحة للجميع .</w:t>
            </w:r>
          </w:p>
        </w:tc>
        <w:tc>
          <w:tcPr>
            <w:tcW w:w="3577" w:type="dxa"/>
            <w:vMerge w:val="restart"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نسبة اللوائح التنظيمية المكتملة 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حجم الموارد المالية للكلية نظير الخدمات التي تقدمها للمجتمع.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auto"/>
                <w:sz w:val="23"/>
                <w:szCs w:val="23"/>
                <w:rtl/>
              </w:rPr>
              <w:t>لائحة موحدة لآلية استقبال الموارد المالية.</w:t>
            </w:r>
          </w:p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 w:val="restart"/>
            <w:shd w:val="clear" w:color="auto" w:fill="E5DFEC" w:themeFill="accent4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>إنجاز100 %من  اللوائح والتنظيمات والتشريعات  المحددة لآليات استقبال</w:t>
            </w:r>
          </w:p>
          <w:p w:rsidR="00B67D6D" w:rsidRPr="00B67D6D" w:rsidRDefault="00B67D6D" w:rsidP="00B67D6D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</w:rPr>
            </w:pPr>
            <w:r w:rsidRPr="00B67D6D">
              <w:rPr>
                <w:rFonts w:asciiTheme="minorHAnsi" w:eastAsiaTheme="minorHAnsi" w:hAnsiTheme="minorHAnsi" w:cs="AL-Mohanad Bold" w:hint="cs"/>
                <w:color w:val="FF0000"/>
                <w:sz w:val="23"/>
                <w:szCs w:val="23"/>
                <w:rtl/>
              </w:rPr>
              <w:t xml:space="preserve"> الموارد المالية بنهاية سنوات الخطة</w:t>
            </w: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تشكيل لجنة لإعداد اللائحة للعمادة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المكتبات</w:t>
            </w:r>
          </w:p>
        </w:tc>
      </w:tr>
      <w:tr w:rsidR="00B67D6D" w:rsidRPr="00C414BE" w:rsidTr="00334632">
        <w:trPr>
          <w:jc w:val="center"/>
        </w:trPr>
        <w:tc>
          <w:tcPr>
            <w:tcW w:w="3161" w:type="dxa"/>
            <w:vMerge/>
            <w:shd w:val="clear" w:color="auto" w:fill="FDE9D9" w:themeFill="accent6" w:themeFillTint="33"/>
            <w:vAlign w:val="center"/>
          </w:tcPr>
          <w:p w:rsidR="00B67D6D" w:rsidRPr="00B67D6D" w:rsidRDefault="00B67D6D" w:rsidP="00B67D6D">
            <w:pPr>
              <w:ind w:left="453" w:hanging="453"/>
              <w:jc w:val="lowKashida"/>
              <w:rPr>
                <w:rFonts w:eastAsiaTheme="minorHAnsi" w:cs="AL-Mohanad Bold"/>
                <w:smallCaps w:val="0"/>
                <w:color w:val="FF0000"/>
                <w:sz w:val="23"/>
                <w:szCs w:val="23"/>
              </w:rPr>
            </w:pPr>
          </w:p>
        </w:tc>
        <w:tc>
          <w:tcPr>
            <w:tcW w:w="3577" w:type="dxa"/>
            <w:vMerge/>
            <w:shd w:val="clear" w:color="auto" w:fill="DAEEF3" w:themeFill="accent5" w:themeFillTint="33"/>
            <w:vAlign w:val="center"/>
          </w:tcPr>
          <w:p w:rsidR="00B67D6D" w:rsidRPr="00B67D6D" w:rsidRDefault="00B67D6D" w:rsidP="00B67D6D">
            <w:pPr>
              <w:pStyle w:val="ListParagraph"/>
              <w:numPr>
                <w:ilvl w:val="0"/>
                <w:numId w:val="23"/>
              </w:numPr>
              <w:tabs>
                <w:tab w:val="left" w:pos="357"/>
              </w:tabs>
              <w:jc w:val="lowKashida"/>
              <w:rPr>
                <w:rFonts w:asciiTheme="minorHAnsi" w:eastAsiaTheme="minorHAnsi" w:hAnsiTheme="minorHAnsi" w:cs="AL-Mohanad Bold"/>
                <w:color w:val="auto"/>
                <w:sz w:val="23"/>
                <w:szCs w:val="23"/>
              </w:rPr>
            </w:pPr>
          </w:p>
        </w:tc>
        <w:tc>
          <w:tcPr>
            <w:tcW w:w="1735" w:type="dxa"/>
            <w:vMerge/>
            <w:shd w:val="clear" w:color="auto" w:fill="E5DFEC" w:themeFill="accent4" w:themeFillTint="33"/>
            <w:vAlign w:val="center"/>
          </w:tcPr>
          <w:p w:rsidR="00B67D6D" w:rsidRPr="00B67D6D" w:rsidRDefault="00B67D6D" w:rsidP="009A1545">
            <w:pPr>
              <w:jc w:val="center"/>
              <w:rPr>
                <w:rFonts w:asciiTheme="minorHAnsi" w:eastAsiaTheme="minorHAnsi" w:hAnsiTheme="minorHAnsi" w:cs="AL-Mohanad Bold"/>
                <w:color w:val="FF0000"/>
                <w:sz w:val="23"/>
                <w:szCs w:val="23"/>
                <w:rtl/>
              </w:rPr>
            </w:pPr>
          </w:p>
        </w:tc>
        <w:tc>
          <w:tcPr>
            <w:tcW w:w="4582" w:type="dxa"/>
            <w:shd w:val="clear" w:color="auto" w:fill="EAF1DD" w:themeFill="accent3" w:themeFillTint="33"/>
            <w:vAlign w:val="center"/>
          </w:tcPr>
          <w:p w:rsidR="00B67D6D" w:rsidRPr="00B67D6D" w:rsidRDefault="00B67D6D" w:rsidP="00B67D6D">
            <w:pPr>
              <w:jc w:val="lowKashida"/>
              <w:rPr>
                <w:rFonts w:asciiTheme="minorBidi" w:eastAsiaTheme="minorHAnsi" w:hAnsiTheme="minorBidi" w:cs="AL-Mohanad Bold"/>
                <w:color w:val="auto"/>
                <w:sz w:val="23"/>
                <w:szCs w:val="23"/>
              </w:rPr>
            </w:pPr>
            <w:r w:rsidRPr="00B67D6D">
              <w:rPr>
                <w:rFonts w:asciiTheme="minorBidi" w:eastAsiaTheme="minorHAnsi" w:hAnsiTheme="minorBidi" w:cs="AL-Mohanad Bold" w:hint="cs"/>
                <w:color w:val="auto"/>
                <w:sz w:val="23"/>
                <w:szCs w:val="23"/>
                <w:rtl/>
              </w:rPr>
              <w:t>برنامج للشراكة مع أحد المؤسسات المجتمعية</w:t>
            </w:r>
          </w:p>
        </w:tc>
        <w:tc>
          <w:tcPr>
            <w:tcW w:w="2024" w:type="dxa"/>
            <w:shd w:val="clear" w:color="auto" w:fill="F2DBDB" w:themeFill="accent2" w:themeFillTint="33"/>
            <w:vAlign w:val="center"/>
          </w:tcPr>
          <w:p w:rsidR="00B67D6D" w:rsidRPr="00B67D6D" w:rsidRDefault="00B67D6D" w:rsidP="00B67D6D">
            <w:pPr>
              <w:jc w:val="center"/>
              <w:rPr>
                <w:rFonts w:asciiTheme="majorBidi" w:eastAsiaTheme="minorHAnsi" w:hAnsiTheme="majorBidi" w:cs="AL-Mohanad Bold"/>
                <w:color w:val="C00000"/>
                <w:sz w:val="23"/>
                <w:szCs w:val="23"/>
                <w:lang w:bidi="ar-EG"/>
              </w:rPr>
            </w:pPr>
            <w:r w:rsidRPr="00B67D6D">
              <w:rPr>
                <w:rFonts w:asciiTheme="majorBidi" w:eastAsiaTheme="minorHAnsi" w:hAnsiTheme="majorBidi" w:cs="AL-Mohanad Bold" w:hint="cs"/>
                <w:color w:val="C00000"/>
                <w:sz w:val="23"/>
                <w:szCs w:val="23"/>
                <w:rtl/>
                <w:lang w:bidi="ar-EG"/>
              </w:rPr>
              <w:t>عمادة المكتبات</w:t>
            </w:r>
          </w:p>
        </w:tc>
      </w:tr>
    </w:tbl>
    <w:p w:rsidR="003C6D61" w:rsidRPr="00681FFC" w:rsidRDefault="003C6D61" w:rsidP="00761737"/>
    <w:sectPr w:rsidR="003C6D61" w:rsidRPr="00681FFC" w:rsidSect="00B67D6D">
      <w:headerReference w:type="default" r:id="rId7"/>
      <w:footerReference w:type="default" r:id="rId8"/>
      <w:pgSz w:w="16838" w:h="11906" w:orient="landscape"/>
      <w:pgMar w:top="1280" w:right="1134" w:bottom="1134" w:left="1134" w:header="709" w:footer="709" w:gutter="0"/>
      <w:pgNumType w:start="6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119" w:rsidRDefault="00CF1119" w:rsidP="002F6ABD">
      <w:r>
        <w:separator/>
      </w:r>
    </w:p>
  </w:endnote>
  <w:endnote w:type="continuationSeparator" w:id="1">
    <w:p w:rsidR="00CF1119" w:rsidRDefault="00CF1119" w:rsidP="002F6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D14D5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9.15pt;margin-top:-.95pt;width:39.4pt;height:23.75pt;z-index:251662336" filled="f" stroked="f">
          <v:textbox style="mso-next-textbox:#_x0000_s2051">
            <w:txbxContent>
              <w:p w:rsidR="00891151" w:rsidRPr="00995AA4" w:rsidRDefault="00D14D5E" w:rsidP="003842FB">
                <w:pPr>
                  <w:jc w:val="center"/>
                  <w:rPr>
                    <w:b/>
                    <w:bCs/>
                    <w:color w:val="auto"/>
                    <w:sz w:val="30"/>
                    <w:szCs w:val="30"/>
                  </w:rPr>
                </w:pP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begin"/>
                </w:r>
                <w:r w:rsidR="00891151" w:rsidRPr="00995AA4">
                  <w:rPr>
                    <w:b/>
                    <w:bCs/>
                    <w:color w:val="auto"/>
                    <w:sz w:val="30"/>
                    <w:szCs w:val="30"/>
                  </w:rPr>
                  <w:instrText xml:space="preserve"> PAGE   \* MERGEFORMAT </w:instrTex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separate"/>
                </w:r>
                <w:r w:rsidR="00B67D6D">
                  <w:rPr>
                    <w:b/>
                    <w:bCs/>
                    <w:noProof/>
                    <w:color w:val="auto"/>
                    <w:sz w:val="30"/>
                    <w:szCs w:val="30"/>
                    <w:rtl/>
                  </w:rPr>
                  <w:t>6</w:t>
                </w:r>
                <w:r w:rsidRPr="00995AA4">
                  <w:rPr>
                    <w:b/>
                    <w:bCs/>
                    <w:color w:val="auto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6.25pt;margin-top:11.25pt;width:679.95pt;height:0;z-index:251664384" o:connectortype="straight" strokeweight="1.5pt">
          <w10:wrap anchorx="page"/>
        </v:shape>
      </w:pict>
    </w:r>
    <w:r>
      <w:rPr>
        <w:noProof/>
      </w:rPr>
      <w:pict>
        <v:shape id="_x0000_s2052" type="#_x0000_t32" style="position:absolute;left:0;text-align:left;margin-left:-1.7pt;margin-top:11.25pt;width:27.85pt;height:0;flip:x;z-index:251663360" o:connectortype="straight" strokeweight="1.5pt"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119" w:rsidRDefault="00CF1119" w:rsidP="002F6ABD">
      <w:r>
        <w:separator/>
      </w:r>
    </w:p>
  </w:footnote>
  <w:footnote w:type="continuationSeparator" w:id="1">
    <w:p w:rsidR="00CF1119" w:rsidRDefault="00CF1119" w:rsidP="002F6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51" w:rsidRDefault="00D14D5E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7pt;margin-top:22.6pt;width:737.9pt;height:.05pt;flip:x;z-index:251661312" o:connectortype="straight" strokeweight="1.5pt">
          <w10:wrap anchorx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42.85pt;margin-top:-26.15pt;width:589.6pt;height:44.15pt;z-index:251658240;mso-width-relative:margin;mso-height-relative:margin" stroked="f">
          <v:textbox style="mso-next-textbox:#_x0000_s2049">
            <w:txbxContent>
              <w:p w:rsidR="00891151" w:rsidRPr="00995AA4" w:rsidRDefault="00891151" w:rsidP="00B67D6D">
                <w:pPr>
                  <w:rPr>
                    <w:rFonts w:cs="AL-Mateen"/>
                    <w:color w:val="auto"/>
                    <w:sz w:val="18"/>
                    <w:szCs w:val="18"/>
                  </w:rPr>
                </w:pPr>
                <w:r w:rsidRPr="00995AA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الخطة الاستراتيجية </w:t>
                </w:r>
                <w:r w:rsidR="00115A14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 xml:space="preserve">العامة لعمادة </w:t>
                </w:r>
                <w:r w:rsidR="00B67D6D">
                  <w:rPr>
                    <w:rFonts w:cs="AL-Mohanad Bold" w:hint="cs"/>
                    <w:color w:val="auto"/>
                    <w:sz w:val="32"/>
                    <w:szCs w:val="32"/>
                    <w:rtl/>
                  </w:rPr>
                  <w:t>شؤؤن المكتبات</w:t>
                </w:r>
                <w:r w:rsidRPr="00995AA4">
                  <w:rPr>
                    <w:rFonts w:cs="AL-Mohanad Bold" w:hint="cs"/>
                    <w:color w:val="auto"/>
                    <w:sz w:val="18"/>
                    <w:szCs w:val="18"/>
                    <w:rtl/>
                    <w:lang w:bidi="ar-EG"/>
                  </w:rPr>
                  <w:t xml:space="preserve"> </w:t>
                </w:r>
                <w:r w:rsidRPr="00995AA4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                                                البعد </w:t>
                </w:r>
                <w:r w:rsidR="00681FFC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الرابع</w:t>
                </w:r>
                <w:r w:rsidR="001D2407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 xml:space="preserve">: </w:t>
                </w:r>
                <w:r w:rsidR="00681FFC">
                  <w:rPr>
                    <w:rFonts w:cs="AL-Mateen" w:hint="cs"/>
                    <w:color w:val="auto"/>
                    <w:sz w:val="38"/>
                    <w:szCs w:val="38"/>
                    <w:rtl/>
                  </w:rPr>
                  <w:t>المالي والاقتصادي</w:t>
                </w:r>
              </w:p>
            </w:txbxContent>
          </v:textbox>
        </v:shape>
      </w:pict>
    </w:r>
    <w:r w:rsidR="00891151" w:rsidRPr="002F6ABD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-389831</wp:posOffset>
          </wp:positionV>
          <wp:extent cx="1344930" cy="707367"/>
          <wp:effectExtent l="19050" t="0" r="762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0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C4A"/>
    <w:multiLevelType w:val="hybridMultilevel"/>
    <w:tmpl w:val="273C776A"/>
    <w:lvl w:ilvl="0" w:tplc="5434DFE4">
      <w:start w:val="4"/>
      <w:numFmt w:val="bullet"/>
      <w:lvlText w:val="-"/>
      <w:lvlJc w:val="left"/>
      <w:pPr>
        <w:ind w:left="763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3D067BC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9A95085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A006225"/>
    <w:multiLevelType w:val="hybridMultilevel"/>
    <w:tmpl w:val="D026007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E54BB"/>
    <w:multiLevelType w:val="hybridMultilevel"/>
    <w:tmpl w:val="23C212C2"/>
    <w:lvl w:ilvl="0" w:tplc="8932A8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imes New Roman" w:hAnsi="Traditional Arabic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72835"/>
    <w:multiLevelType w:val="hybridMultilevel"/>
    <w:tmpl w:val="78967DA0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3398E"/>
    <w:multiLevelType w:val="hybridMultilevel"/>
    <w:tmpl w:val="8266FAFA"/>
    <w:lvl w:ilvl="0" w:tplc="AE64DDAA">
      <w:start w:val="9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D77FD"/>
    <w:multiLevelType w:val="hybridMultilevel"/>
    <w:tmpl w:val="19B2251C"/>
    <w:lvl w:ilvl="0" w:tplc="E9866A50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47F7E"/>
    <w:multiLevelType w:val="hybridMultilevel"/>
    <w:tmpl w:val="368C1E40"/>
    <w:lvl w:ilvl="0" w:tplc="E41A531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0702"/>
    <w:multiLevelType w:val="hybridMultilevel"/>
    <w:tmpl w:val="F7EEEA06"/>
    <w:lvl w:ilvl="0" w:tplc="6D8E65FA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D3C071D"/>
    <w:multiLevelType w:val="multilevel"/>
    <w:tmpl w:val="2D4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2F7556B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74B6F6F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C136318"/>
    <w:multiLevelType w:val="hybridMultilevel"/>
    <w:tmpl w:val="6B4842BE"/>
    <w:lvl w:ilvl="0" w:tplc="88222596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F35FE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>
    <w:nsid w:val="501632F2"/>
    <w:multiLevelType w:val="hybridMultilevel"/>
    <w:tmpl w:val="E5A0AD26"/>
    <w:lvl w:ilvl="0" w:tplc="5434DFE4">
      <w:start w:val="4"/>
      <w:numFmt w:val="bullet"/>
      <w:lvlText w:val="-"/>
      <w:lvlJc w:val="left"/>
      <w:pPr>
        <w:ind w:left="53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6">
    <w:nsid w:val="50AF0B44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54575344"/>
    <w:multiLevelType w:val="hybridMultilevel"/>
    <w:tmpl w:val="53D0C03E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A2916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5A9D7980"/>
    <w:multiLevelType w:val="multilevel"/>
    <w:tmpl w:val="0B72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5C627702"/>
    <w:multiLevelType w:val="multilevel"/>
    <w:tmpl w:val="368C1E40"/>
    <w:lvl w:ilvl="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 Bol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E0080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</w:lvl>
    <w:lvl w:ilvl="1">
      <w:start w:val="1"/>
      <w:numFmt w:val="decimal"/>
      <w:lvlText w:val="%2."/>
      <w:lvlJc w:val="left"/>
      <w:pPr>
        <w:tabs>
          <w:tab w:val="num" w:pos="1723"/>
        </w:tabs>
        <w:ind w:left="1723" w:hanging="720"/>
      </w:pPr>
    </w:lvl>
    <w:lvl w:ilvl="2">
      <w:start w:val="1"/>
      <w:numFmt w:val="decimal"/>
      <w:lvlText w:val="%3."/>
      <w:lvlJc w:val="left"/>
      <w:pPr>
        <w:tabs>
          <w:tab w:val="num" w:pos="2443"/>
        </w:tabs>
        <w:ind w:left="2443" w:hanging="72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720"/>
      </w:pPr>
    </w:lvl>
    <w:lvl w:ilvl="4">
      <w:start w:val="1"/>
      <w:numFmt w:val="decimal"/>
      <w:lvlText w:val="%5."/>
      <w:lvlJc w:val="left"/>
      <w:pPr>
        <w:tabs>
          <w:tab w:val="num" w:pos="3883"/>
        </w:tabs>
        <w:ind w:left="3883" w:hanging="720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72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72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72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720"/>
      </w:pPr>
    </w:lvl>
  </w:abstractNum>
  <w:abstractNum w:abstractNumId="22">
    <w:nsid w:val="5F127819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FF5122A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47B1353"/>
    <w:multiLevelType w:val="hybridMultilevel"/>
    <w:tmpl w:val="FBA6BB2C"/>
    <w:lvl w:ilvl="0" w:tplc="76EC9702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60483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1570"/>
        </w:tabs>
        <w:ind w:left="1570" w:hanging="720"/>
      </w:pPr>
    </w:lvl>
    <w:lvl w:ilvl="1">
      <w:start w:val="1"/>
      <w:numFmt w:val="decimal"/>
      <w:lvlText w:val="%2."/>
      <w:lvlJc w:val="left"/>
      <w:pPr>
        <w:tabs>
          <w:tab w:val="num" w:pos="2290"/>
        </w:tabs>
        <w:ind w:left="2290" w:hanging="720"/>
      </w:pPr>
    </w:lvl>
    <w:lvl w:ilvl="2">
      <w:start w:val="1"/>
      <w:numFmt w:val="decimal"/>
      <w:lvlText w:val="%3."/>
      <w:lvlJc w:val="left"/>
      <w:pPr>
        <w:tabs>
          <w:tab w:val="num" w:pos="3010"/>
        </w:tabs>
        <w:ind w:left="3010" w:hanging="720"/>
      </w:pPr>
    </w:lvl>
    <w:lvl w:ilvl="3">
      <w:start w:val="1"/>
      <w:numFmt w:val="decimal"/>
      <w:lvlText w:val="%4."/>
      <w:lvlJc w:val="left"/>
      <w:pPr>
        <w:tabs>
          <w:tab w:val="num" w:pos="3730"/>
        </w:tabs>
        <w:ind w:left="3730" w:hanging="720"/>
      </w:pPr>
    </w:lvl>
    <w:lvl w:ilvl="4">
      <w:start w:val="1"/>
      <w:numFmt w:val="decimal"/>
      <w:lvlText w:val="%5."/>
      <w:lvlJc w:val="left"/>
      <w:pPr>
        <w:tabs>
          <w:tab w:val="num" w:pos="4450"/>
        </w:tabs>
        <w:ind w:left="4450" w:hanging="720"/>
      </w:pPr>
    </w:lvl>
    <w:lvl w:ilvl="5">
      <w:start w:val="1"/>
      <w:numFmt w:val="decimal"/>
      <w:lvlText w:val="%6."/>
      <w:lvlJc w:val="left"/>
      <w:pPr>
        <w:tabs>
          <w:tab w:val="num" w:pos="5170"/>
        </w:tabs>
        <w:ind w:left="5170" w:hanging="720"/>
      </w:pPr>
    </w:lvl>
    <w:lvl w:ilvl="6">
      <w:start w:val="1"/>
      <w:numFmt w:val="decimal"/>
      <w:lvlText w:val="%7."/>
      <w:lvlJc w:val="left"/>
      <w:pPr>
        <w:tabs>
          <w:tab w:val="num" w:pos="5890"/>
        </w:tabs>
        <w:ind w:left="5890" w:hanging="720"/>
      </w:pPr>
    </w:lvl>
    <w:lvl w:ilvl="7">
      <w:start w:val="1"/>
      <w:numFmt w:val="decimal"/>
      <w:lvlText w:val="%8."/>
      <w:lvlJc w:val="left"/>
      <w:pPr>
        <w:tabs>
          <w:tab w:val="num" w:pos="6610"/>
        </w:tabs>
        <w:ind w:left="6610" w:hanging="720"/>
      </w:pPr>
    </w:lvl>
    <w:lvl w:ilvl="8">
      <w:start w:val="1"/>
      <w:numFmt w:val="decimal"/>
      <w:lvlText w:val="%9."/>
      <w:lvlJc w:val="left"/>
      <w:pPr>
        <w:tabs>
          <w:tab w:val="num" w:pos="7330"/>
        </w:tabs>
        <w:ind w:left="7330" w:hanging="720"/>
      </w:pPr>
    </w:lvl>
  </w:abstractNum>
  <w:abstractNum w:abstractNumId="26">
    <w:nsid w:val="69DB5358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6A521E39"/>
    <w:multiLevelType w:val="hybridMultilevel"/>
    <w:tmpl w:val="95BA7660"/>
    <w:lvl w:ilvl="0" w:tplc="A21A49DA">
      <w:start w:val="14"/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A1951"/>
    <w:multiLevelType w:val="multilevel"/>
    <w:tmpl w:val="CA0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>
    <w:nsid w:val="6BC70FB1"/>
    <w:multiLevelType w:val="multilevel"/>
    <w:tmpl w:val="EE8CF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3"/>
        <w:szCs w:val="23"/>
        <w:lang w:bidi="ar-EG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1547275"/>
    <w:multiLevelType w:val="multilevel"/>
    <w:tmpl w:val="7296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75521AA6"/>
    <w:multiLevelType w:val="multilevel"/>
    <w:tmpl w:val="073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79CF3A9B"/>
    <w:multiLevelType w:val="hybridMultilevel"/>
    <w:tmpl w:val="0888A568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871A0"/>
    <w:multiLevelType w:val="hybridMultilevel"/>
    <w:tmpl w:val="88D6FCBA"/>
    <w:lvl w:ilvl="0" w:tplc="5434DFE4">
      <w:start w:val="4"/>
      <w:numFmt w:val="bullet"/>
      <w:lvlText w:val="-"/>
      <w:lvlJc w:val="left"/>
      <w:pPr>
        <w:ind w:left="54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E473C34"/>
    <w:multiLevelType w:val="hybridMultilevel"/>
    <w:tmpl w:val="43DCCD80"/>
    <w:lvl w:ilvl="0" w:tplc="78BA1482">
      <w:numFmt w:val="bullet"/>
      <w:lvlText w:val="-"/>
      <w:lvlJc w:val="left"/>
      <w:pPr>
        <w:ind w:left="720" w:hanging="360"/>
      </w:pPr>
      <w:rPr>
        <w:rFonts w:asciiTheme="minorBidi" w:eastAsia="Times New Roman" w:hAnsiTheme="minorBid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B1592"/>
    <w:multiLevelType w:val="hybridMultilevel"/>
    <w:tmpl w:val="8DB85EF0"/>
    <w:lvl w:ilvl="0" w:tplc="5434DFE4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AFC"/>
    <w:multiLevelType w:val="hybridMultilevel"/>
    <w:tmpl w:val="381AC162"/>
    <w:lvl w:ilvl="0" w:tplc="76EC970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1"/>
  </w:num>
  <w:num w:numId="4">
    <w:abstractNumId w:val="11"/>
  </w:num>
  <w:num w:numId="5">
    <w:abstractNumId w:val="1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26"/>
  </w:num>
  <w:num w:numId="10">
    <w:abstractNumId w:val="16"/>
  </w:num>
  <w:num w:numId="11">
    <w:abstractNumId w:val="22"/>
  </w:num>
  <w:num w:numId="12">
    <w:abstractNumId w:val="1"/>
  </w:num>
  <w:num w:numId="13">
    <w:abstractNumId w:val="2"/>
  </w:num>
  <w:num w:numId="14">
    <w:abstractNumId w:val="29"/>
  </w:num>
  <w:num w:numId="15">
    <w:abstractNumId w:val="15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</w:num>
  <w:num w:numId="20">
    <w:abstractNumId w:val="14"/>
  </w:num>
  <w:num w:numId="21">
    <w:abstractNumId w:val="8"/>
  </w:num>
  <w:num w:numId="22">
    <w:abstractNumId w:val="20"/>
  </w:num>
  <w:num w:numId="23">
    <w:abstractNumId w:val="24"/>
  </w:num>
  <w:num w:numId="24">
    <w:abstractNumId w:val="32"/>
  </w:num>
  <w:num w:numId="25">
    <w:abstractNumId w:val="34"/>
  </w:num>
  <w:num w:numId="26">
    <w:abstractNumId w:val="36"/>
  </w:num>
  <w:num w:numId="27">
    <w:abstractNumId w:val="13"/>
  </w:num>
  <w:num w:numId="28">
    <w:abstractNumId w:val="3"/>
  </w:num>
  <w:num w:numId="29">
    <w:abstractNumId w:val="5"/>
  </w:num>
  <w:num w:numId="30">
    <w:abstractNumId w:val="9"/>
  </w:num>
  <w:num w:numId="31">
    <w:abstractNumId w:val="27"/>
  </w:num>
  <w:num w:numId="32">
    <w:abstractNumId w:val="6"/>
  </w:num>
  <w:num w:numId="33">
    <w:abstractNumId w:val="7"/>
  </w:num>
  <w:num w:numId="34">
    <w:abstractNumId w:val="33"/>
  </w:num>
  <w:num w:numId="35">
    <w:abstractNumId w:val="35"/>
  </w:num>
  <w:num w:numId="36">
    <w:abstractNumId w:val="0"/>
  </w:num>
  <w:num w:numId="37">
    <w:abstractNumId w:val="4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3794">
      <o:colormenu v:ext="edit" fillcolor="none" strokecolor="none"/>
    </o:shapedefaults>
    <o:shapelayout v:ext="edit">
      <o:idmap v:ext="edit" data="2"/>
      <o:rules v:ext="edit">
        <o:r id="V:Rule4" type="connector" idref="#_x0000_s2053"/>
        <o:r id="V:Rule5" type="connector" idref="#_x0000_s2052"/>
        <o:r id="V:Rule6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6ABD"/>
    <w:rsid w:val="000229B4"/>
    <w:rsid w:val="000779D0"/>
    <w:rsid w:val="000C10AD"/>
    <w:rsid w:val="000E53D0"/>
    <w:rsid w:val="00115A14"/>
    <w:rsid w:val="001D2407"/>
    <w:rsid w:val="00201D2A"/>
    <w:rsid w:val="002454EA"/>
    <w:rsid w:val="002879EC"/>
    <w:rsid w:val="002909FD"/>
    <w:rsid w:val="002F6ABD"/>
    <w:rsid w:val="00334632"/>
    <w:rsid w:val="003842FB"/>
    <w:rsid w:val="003A1BA9"/>
    <w:rsid w:val="003B1747"/>
    <w:rsid w:val="003C6D61"/>
    <w:rsid w:val="004A0B25"/>
    <w:rsid w:val="004A4C80"/>
    <w:rsid w:val="005218C5"/>
    <w:rsid w:val="0053557D"/>
    <w:rsid w:val="00576DC7"/>
    <w:rsid w:val="00593D52"/>
    <w:rsid w:val="005E1F5D"/>
    <w:rsid w:val="00614A13"/>
    <w:rsid w:val="006564AF"/>
    <w:rsid w:val="00664635"/>
    <w:rsid w:val="00672FE6"/>
    <w:rsid w:val="00681FFC"/>
    <w:rsid w:val="0068687D"/>
    <w:rsid w:val="006C58B5"/>
    <w:rsid w:val="006F4EDA"/>
    <w:rsid w:val="00756CF6"/>
    <w:rsid w:val="00760E4C"/>
    <w:rsid w:val="00761737"/>
    <w:rsid w:val="007E7BC4"/>
    <w:rsid w:val="00824A55"/>
    <w:rsid w:val="00891151"/>
    <w:rsid w:val="008A2913"/>
    <w:rsid w:val="008B2D56"/>
    <w:rsid w:val="008F655C"/>
    <w:rsid w:val="00903646"/>
    <w:rsid w:val="00995AA4"/>
    <w:rsid w:val="009A0B78"/>
    <w:rsid w:val="009A5860"/>
    <w:rsid w:val="009E5129"/>
    <w:rsid w:val="009F03D5"/>
    <w:rsid w:val="00AA07BA"/>
    <w:rsid w:val="00AC1959"/>
    <w:rsid w:val="00AC55BF"/>
    <w:rsid w:val="00B00693"/>
    <w:rsid w:val="00B423F0"/>
    <w:rsid w:val="00B67D6D"/>
    <w:rsid w:val="00BF70E6"/>
    <w:rsid w:val="00C127BC"/>
    <w:rsid w:val="00C35D5C"/>
    <w:rsid w:val="00C414BE"/>
    <w:rsid w:val="00CF1119"/>
    <w:rsid w:val="00D014B5"/>
    <w:rsid w:val="00D14D5E"/>
    <w:rsid w:val="00D339B0"/>
    <w:rsid w:val="00D36C2D"/>
    <w:rsid w:val="00DB3BEB"/>
    <w:rsid w:val="00DB4A52"/>
    <w:rsid w:val="00E117BF"/>
    <w:rsid w:val="00E1621C"/>
    <w:rsid w:val="00ED6E3B"/>
    <w:rsid w:val="00F35C87"/>
    <w:rsid w:val="00F412D1"/>
    <w:rsid w:val="00F61B58"/>
    <w:rsid w:val="00FC394A"/>
    <w:rsid w:val="00FC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A4"/>
    <w:pPr>
      <w:bidi/>
      <w:spacing w:after="0" w:line="240" w:lineRule="auto"/>
    </w:pPr>
    <w:rPr>
      <w:rFonts w:ascii="Times New Roman" w:eastAsia="Times New Roman" w:hAnsi="Times New Roman" w:cs="Traditional Arabic"/>
      <w:smallCaps/>
      <w:color w:val="00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6A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ABD"/>
  </w:style>
  <w:style w:type="paragraph" w:styleId="Footer">
    <w:name w:val="footer"/>
    <w:basedOn w:val="Normal"/>
    <w:link w:val="FooterChar"/>
    <w:uiPriority w:val="99"/>
    <w:unhideWhenUsed/>
    <w:rsid w:val="002F6A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ABD"/>
  </w:style>
  <w:style w:type="paragraph" w:styleId="ListParagraph">
    <w:name w:val="List Paragraph"/>
    <w:basedOn w:val="Normal"/>
    <w:uiPriority w:val="99"/>
    <w:qFormat/>
    <w:rsid w:val="00756CF6"/>
    <w:pPr>
      <w:ind w:left="720"/>
      <w:contextualSpacing/>
    </w:pPr>
    <w:rPr>
      <w:rFonts w:cs="AL-Mohanad"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Hamada</cp:lastModifiedBy>
  <cp:revision>4</cp:revision>
  <dcterms:created xsi:type="dcterms:W3CDTF">2011-11-29T18:14:00Z</dcterms:created>
  <dcterms:modified xsi:type="dcterms:W3CDTF">2011-12-01T14:18:00Z</dcterms:modified>
</cp:coreProperties>
</file>