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3577"/>
        <w:gridCol w:w="1735"/>
        <w:gridCol w:w="4582"/>
        <w:gridCol w:w="2024"/>
      </w:tblGrid>
      <w:tr w:rsidR="00995AA4" w:rsidRPr="00C414BE" w:rsidTr="00995AA4">
        <w:trPr>
          <w:tblHeader/>
          <w:jc w:val="center"/>
        </w:trPr>
        <w:tc>
          <w:tcPr>
            <w:tcW w:w="15079" w:type="dxa"/>
            <w:gridSpan w:val="5"/>
            <w:vAlign w:val="center"/>
            <w:hideMark/>
          </w:tcPr>
          <w:p w:rsidR="00115A14" w:rsidRPr="006F4EDA" w:rsidRDefault="00115A14" w:rsidP="00891151">
            <w:pPr>
              <w:widowControl w:val="0"/>
              <w:adjustRightInd w:val="0"/>
              <w:ind w:left="1954" w:hanging="1954"/>
              <w:jc w:val="lowKashida"/>
              <w:textAlignment w:val="baseline"/>
              <w:rPr>
                <w:rFonts w:eastAsiaTheme="minorHAnsi" w:cs="AL-Mateen"/>
                <w:smallCaps w:val="0"/>
                <w:color w:val="00B050"/>
                <w:sz w:val="31"/>
                <w:szCs w:val="31"/>
              </w:rPr>
            </w:pPr>
            <w:r w:rsidRPr="00115A14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>الهدف الاستراتيجي : تقديم خدمة أكاديمية على درجة عالية من الجودة والاعتماد، وفق المتطلبات الوطنية والعالمية، من أجل تنمية القدرة التنافسية لطلاب وطالبات الجامعة في سوق العمل، بما يسهم في بناء الشراكة المجتمعية.</w:t>
            </w:r>
          </w:p>
        </w:tc>
      </w:tr>
      <w:tr w:rsidR="00995AA4" w:rsidRPr="00C414BE" w:rsidTr="008F59B9">
        <w:trPr>
          <w:tblHeader/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الهدف التفصيلي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المؤشرات والمقاييس</w:t>
            </w:r>
          </w:p>
        </w:tc>
        <w:tc>
          <w:tcPr>
            <w:tcW w:w="1735" w:type="dxa"/>
            <w:shd w:val="clear" w:color="auto" w:fill="EAF1DD" w:themeFill="accent3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المستهدف</w:t>
            </w:r>
          </w:p>
        </w:tc>
        <w:tc>
          <w:tcPr>
            <w:tcW w:w="4582" w:type="dxa"/>
            <w:shd w:val="clear" w:color="auto" w:fill="F2DBDB" w:themeFill="accent2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المبادرات</w:t>
            </w:r>
          </w:p>
        </w:tc>
        <w:tc>
          <w:tcPr>
            <w:tcW w:w="2024" w:type="dxa"/>
            <w:shd w:val="clear" w:color="auto" w:fill="C6D9F1" w:themeFill="text2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الجهة المسؤولة</w:t>
            </w:r>
          </w:p>
        </w:tc>
      </w:tr>
      <w:tr w:rsidR="00126323" w:rsidRPr="00C414BE" w:rsidTr="00126323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126323" w:rsidRPr="00126323" w:rsidRDefault="00126323" w:rsidP="00126323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126323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(1)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126323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تـنــمـيـة مـهـارات وقـدرات الطلاب وإعدادهم لسوق العمل.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126323" w:rsidRPr="00126323" w:rsidRDefault="00126323" w:rsidP="00126323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126323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الطلاب /الطالبات الحاصلات  على دورات في الحاسب الآلي واللغة الانجليزية.</w:t>
            </w:r>
          </w:p>
          <w:p w:rsidR="00126323" w:rsidRPr="00126323" w:rsidRDefault="00126323" w:rsidP="00126323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126323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الطلاب/الطالبات المتدربين إلى العدد الإجمالي.</w:t>
            </w:r>
          </w:p>
          <w:p w:rsidR="00126323" w:rsidRPr="00126323" w:rsidRDefault="00126323" w:rsidP="00126323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126323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البرامج التثقيفية بالتعاملات الإلكتروني</w:t>
            </w:r>
            <w:r w:rsidRPr="00126323">
              <w:rPr>
                <w:rFonts w:asciiTheme="minorHAnsi" w:eastAsiaTheme="minorHAnsi" w:hAnsiTheme="minorHAnsi" w:cs="AL-Mohanad Bold" w:hint="eastAsia"/>
                <w:color w:val="auto"/>
                <w:sz w:val="23"/>
                <w:szCs w:val="23"/>
                <w:rtl/>
              </w:rPr>
              <w:t>ة</w:t>
            </w:r>
            <w:r w:rsidRPr="00126323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 xml:space="preserve"> والتعليم الإلكتروني. </w:t>
            </w:r>
          </w:p>
        </w:tc>
        <w:tc>
          <w:tcPr>
            <w:tcW w:w="1735" w:type="dxa"/>
            <w:vMerge w:val="restart"/>
            <w:shd w:val="clear" w:color="auto" w:fill="EAF1DD" w:themeFill="accent3" w:themeFillTint="33"/>
            <w:vAlign w:val="center"/>
          </w:tcPr>
          <w:p w:rsidR="00126323" w:rsidRPr="00126323" w:rsidRDefault="00126323" w:rsidP="00126323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126323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تنمية مهارات20% من  الخريجين والخريجات في اللغة الإنجليزية والحاسب الآلي</w:t>
            </w:r>
          </w:p>
        </w:tc>
        <w:tc>
          <w:tcPr>
            <w:tcW w:w="4582" w:type="dxa"/>
            <w:shd w:val="clear" w:color="auto" w:fill="F2DBDB" w:themeFill="accent2" w:themeFillTint="33"/>
            <w:vAlign w:val="center"/>
          </w:tcPr>
          <w:p w:rsidR="00126323" w:rsidRPr="00126323" w:rsidRDefault="00126323" w:rsidP="00126323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126323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دورات تدريبية للطلاب  على استخدام المكتبة</w:t>
            </w:r>
          </w:p>
        </w:tc>
        <w:tc>
          <w:tcPr>
            <w:tcW w:w="2024" w:type="dxa"/>
            <w:shd w:val="clear" w:color="auto" w:fill="C6D9F1" w:themeFill="text2" w:themeFillTint="33"/>
            <w:vAlign w:val="center"/>
          </w:tcPr>
          <w:p w:rsidR="00126323" w:rsidRPr="00126323" w:rsidRDefault="00126323" w:rsidP="001D410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126323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126323" w:rsidRPr="00C414BE" w:rsidTr="00126323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126323" w:rsidRPr="00126323" w:rsidRDefault="00126323" w:rsidP="00126323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126323" w:rsidRPr="00126323" w:rsidRDefault="00126323" w:rsidP="00126323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AF1DD" w:themeFill="accent3" w:themeFillTint="33"/>
            <w:vAlign w:val="center"/>
          </w:tcPr>
          <w:p w:rsidR="00126323" w:rsidRPr="00126323" w:rsidRDefault="00126323" w:rsidP="00126323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F2DBDB" w:themeFill="accent2" w:themeFillTint="33"/>
            <w:vAlign w:val="center"/>
          </w:tcPr>
          <w:p w:rsidR="00126323" w:rsidRPr="00126323" w:rsidRDefault="00126323" w:rsidP="00126323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126323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دورات تدريبية للطلاب  على استخدام قواعد البيانات ومصادر المعلومات الالكترونية</w:t>
            </w:r>
          </w:p>
          <w:p w:rsidR="00126323" w:rsidRPr="00126323" w:rsidRDefault="00126323" w:rsidP="00126323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</w:p>
        </w:tc>
        <w:tc>
          <w:tcPr>
            <w:tcW w:w="2024" w:type="dxa"/>
            <w:shd w:val="clear" w:color="auto" w:fill="C6D9F1" w:themeFill="text2" w:themeFillTint="33"/>
            <w:vAlign w:val="center"/>
          </w:tcPr>
          <w:p w:rsidR="00126323" w:rsidRPr="00126323" w:rsidRDefault="00126323" w:rsidP="001D410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126323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126323" w:rsidRPr="00126323" w:rsidRDefault="00126323" w:rsidP="001D410D">
            <w:pPr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  <w:p w:rsidR="00126323" w:rsidRPr="00126323" w:rsidRDefault="00126323" w:rsidP="001D410D">
            <w:pPr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  <w:p w:rsidR="00126323" w:rsidRPr="00126323" w:rsidRDefault="00126323" w:rsidP="001D410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</w:tc>
      </w:tr>
      <w:tr w:rsidR="00126323" w:rsidRPr="00C414BE" w:rsidTr="00126323">
        <w:trPr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</w:tcPr>
          <w:p w:rsidR="00126323" w:rsidRPr="00126323" w:rsidRDefault="00126323" w:rsidP="00126323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126323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(2)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126323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تحسين برامج  وخدمات الإرشادالأكاديمي في جميع كليات الجامعة.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</w:tcPr>
          <w:p w:rsidR="00126323" w:rsidRPr="00126323" w:rsidRDefault="00126323" w:rsidP="00126323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126323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(طلاب : مرشد أكاديمي )</w:t>
            </w:r>
          </w:p>
          <w:p w:rsidR="00126323" w:rsidRPr="00126323" w:rsidRDefault="00126323" w:rsidP="00126323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126323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الأيام الدراسية المخصصة للإرشاد الأكاديمي في العام الدراسي.</w:t>
            </w:r>
          </w:p>
          <w:p w:rsidR="00126323" w:rsidRPr="00126323" w:rsidRDefault="00126323" w:rsidP="00126323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126323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الـنسبة المئوية لرضا الطلاب عن  الخدمات الإرشادية المقدمة لهم.</w:t>
            </w:r>
          </w:p>
        </w:tc>
        <w:tc>
          <w:tcPr>
            <w:tcW w:w="1735" w:type="dxa"/>
            <w:shd w:val="clear" w:color="auto" w:fill="EAF1DD" w:themeFill="accent3" w:themeFillTint="33"/>
            <w:vAlign w:val="center"/>
          </w:tcPr>
          <w:p w:rsidR="00126323" w:rsidRPr="00126323" w:rsidRDefault="00126323" w:rsidP="001D410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126323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خطة شاملة لبرامج  وخدمات الإرشاد الأكاديمي للجامع</w:t>
            </w:r>
          </w:p>
        </w:tc>
        <w:tc>
          <w:tcPr>
            <w:tcW w:w="4582" w:type="dxa"/>
            <w:shd w:val="clear" w:color="auto" w:fill="F2DBDB" w:themeFill="accent2" w:themeFillTint="33"/>
            <w:vAlign w:val="center"/>
          </w:tcPr>
          <w:p w:rsidR="00126323" w:rsidRPr="00126323" w:rsidRDefault="00126323" w:rsidP="00126323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126323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تقديم جولات ارشادية في المكتبة المركزية للطلاب  المستجدين لكل فصل دراسي.</w:t>
            </w:r>
          </w:p>
        </w:tc>
        <w:tc>
          <w:tcPr>
            <w:tcW w:w="2024" w:type="dxa"/>
            <w:shd w:val="clear" w:color="auto" w:fill="C6D9F1" w:themeFill="text2" w:themeFillTint="33"/>
            <w:vAlign w:val="center"/>
          </w:tcPr>
          <w:p w:rsidR="00126323" w:rsidRPr="00126323" w:rsidRDefault="00126323" w:rsidP="001D410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126323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126323" w:rsidRPr="00C414BE" w:rsidTr="00126323">
        <w:trPr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</w:tcPr>
          <w:p w:rsidR="00126323" w:rsidRPr="00126323" w:rsidRDefault="00126323" w:rsidP="00126323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126323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(3)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126323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تطوير برامج رعاية الطلاب  ذوي الاحتياجات الخاصة</w:t>
            </w:r>
            <w:bookmarkStart w:id="0" w:name="_GoBack"/>
            <w:bookmarkEnd w:id="0"/>
            <w:r w:rsidRPr="00126323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.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</w:tcPr>
          <w:p w:rsidR="00126323" w:rsidRPr="00126323" w:rsidRDefault="00126323" w:rsidP="00126323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126323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البرامج التي تم تطويرها ودراستها.</w:t>
            </w:r>
          </w:p>
          <w:p w:rsidR="00126323" w:rsidRPr="00126323" w:rsidRDefault="00126323" w:rsidP="00126323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126323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عدد الطلاب المستفيدين من البرامج إلى العدد إلى جمالي لطلاب الرعاية الخاصة .</w:t>
            </w:r>
          </w:p>
        </w:tc>
        <w:tc>
          <w:tcPr>
            <w:tcW w:w="1735" w:type="dxa"/>
            <w:shd w:val="clear" w:color="auto" w:fill="EAF1DD" w:themeFill="accent3" w:themeFillTint="33"/>
            <w:vAlign w:val="center"/>
          </w:tcPr>
          <w:p w:rsidR="00126323" w:rsidRPr="00126323" w:rsidRDefault="00126323" w:rsidP="00126323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126323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إعداد وثيقة متكاملة  لبرامج رعاية الطلاب  ذوي الاحتياجات الخاصة بالجامعة .</w:t>
            </w:r>
          </w:p>
        </w:tc>
        <w:tc>
          <w:tcPr>
            <w:tcW w:w="4582" w:type="dxa"/>
            <w:shd w:val="clear" w:color="auto" w:fill="F2DBDB" w:themeFill="accent2" w:themeFillTint="33"/>
            <w:vAlign w:val="center"/>
          </w:tcPr>
          <w:p w:rsidR="00126323" w:rsidRPr="00126323" w:rsidRDefault="00126323" w:rsidP="00126323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126323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دراسة مشكلات وحاجات الطلاب والطالبات ذوي الاحتياجات الخاصة من مكتبات الجامعة.</w:t>
            </w:r>
          </w:p>
        </w:tc>
        <w:tc>
          <w:tcPr>
            <w:tcW w:w="2024" w:type="dxa"/>
            <w:shd w:val="clear" w:color="auto" w:fill="C6D9F1" w:themeFill="text2" w:themeFillTint="33"/>
            <w:vAlign w:val="center"/>
          </w:tcPr>
          <w:p w:rsidR="00126323" w:rsidRPr="00126323" w:rsidRDefault="00126323" w:rsidP="001D410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126323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</w:tbl>
    <w:p w:rsidR="003C6D61" w:rsidRPr="00E35BFC" w:rsidRDefault="003C6D61" w:rsidP="00761737"/>
    <w:sectPr w:rsidR="003C6D61" w:rsidRPr="00E35BFC" w:rsidSect="002F6ABD">
      <w:headerReference w:type="default" r:id="rId7"/>
      <w:footerReference w:type="default" r:id="rId8"/>
      <w:pgSz w:w="16838" w:h="11906" w:orient="landscape"/>
      <w:pgMar w:top="128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7C" w:rsidRDefault="00D0287C" w:rsidP="002F6ABD">
      <w:r>
        <w:separator/>
      </w:r>
    </w:p>
  </w:endnote>
  <w:endnote w:type="continuationSeparator" w:id="1">
    <w:p w:rsidR="00D0287C" w:rsidRDefault="00D0287C" w:rsidP="002F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04763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9.15pt;margin-top:-.95pt;width:39.4pt;height:23.75pt;z-index:251662336" filled="f" stroked="f">
          <v:textbox style="mso-next-textbox:#_x0000_s2051">
            <w:txbxContent>
              <w:p w:rsidR="00891151" w:rsidRPr="00995AA4" w:rsidRDefault="00047632" w:rsidP="003842FB">
                <w:pPr>
                  <w:jc w:val="center"/>
                  <w:rPr>
                    <w:b/>
                    <w:bCs/>
                    <w:color w:val="auto"/>
                    <w:sz w:val="30"/>
                    <w:szCs w:val="30"/>
                  </w:rPr>
                </w:pP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begin"/>
                </w:r>
                <w:r w:rsidR="00891151" w:rsidRPr="00995AA4">
                  <w:rPr>
                    <w:b/>
                    <w:bCs/>
                    <w:color w:val="auto"/>
                    <w:sz w:val="30"/>
                    <w:szCs w:val="30"/>
                  </w:rPr>
                  <w:instrText xml:space="preserve"> PAGE   \* MERGEFORMAT </w:instrTex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separate"/>
                </w:r>
                <w:r w:rsidR="00126323">
                  <w:rPr>
                    <w:b/>
                    <w:bCs/>
                    <w:noProof/>
                    <w:color w:val="auto"/>
                    <w:sz w:val="30"/>
                    <w:szCs w:val="30"/>
                    <w:rtl/>
                  </w:rPr>
                  <w:t>1</w: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6.25pt;margin-top:11.25pt;width:679.95pt;height:0;z-index:251664384" o:connectortype="straight" strokeweight="1.5pt">
          <w10:wrap anchorx="page"/>
        </v:shape>
      </w:pict>
    </w:r>
    <w:r>
      <w:rPr>
        <w:noProof/>
      </w:rPr>
      <w:pict>
        <v:shape id="_x0000_s2052" type="#_x0000_t32" style="position:absolute;left:0;text-align:left;margin-left:-1.7pt;margin-top:11.25pt;width:27.85pt;height:0;flip:x;z-index:251663360" o:connectortype="straight" strokeweight="1.5pt"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7C" w:rsidRDefault="00D0287C" w:rsidP="002F6ABD">
      <w:r>
        <w:separator/>
      </w:r>
    </w:p>
  </w:footnote>
  <w:footnote w:type="continuationSeparator" w:id="1">
    <w:p w:rsidR="00D0287C" w:rsidRDefault="00D0287C" w:rsidP="002F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047632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7pt;margin-top:22.6pt;width:737.9pt;height:.05pt;flip:x;z-index:251661312" o:connectortype="straight" strokeweight="1.5pt">
          <w10:wrap anchorx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2.85pt;margin-top:-26.15pt;width:589.6pt;height:44.15pt;z-index:251658240;mso-width-relative:margin;mso-height-relative:margin" stroked="f">
          <v:textbox style="mso-next-textbox:#_x0000_s2049">
            <w:txbxContent>
              <w:p w:rsidR="00891151" w:rsidRPr="00995AA4" w:rsidRDefault="00891151" w:rsidP="00126323">
                <w:pPr>
                  <w:rPr>
                    <w:rFonts w:cs="AL-Mateen"/>
                    <w:color w:val="auto"/>
                    <w:sz w:val="18"/>
                    <w:szCs w:val="18"/>
                  </w:rPr>
                </w:pPr>
                <w:r w:rsidRPr="00995AA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الخطة الاستراتيجية </w:t>
                </w:r>
                <w:r w:rsidR="00115A1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العامة لعمادة </w:t>
                </w:r>
                <w:r w:rsidR="00126323">
                  <w:rPr>
                    <w:rFonts w:cs="AL-Mohanad Bold" w:hint="cs"/>
                    <w:color w:val="auto"/>
                    <w:sz w:val="32"/>
                    <w:szCs w:val="32"/>
                    <w:rtl/>
                    <w:lang w:bidi="ar-EG"/>
                  </w:rPr>
                  <w:t xml:space="preserve">شؤؤن المكتبات </w:t>
                </w:r>
                <w:r w:rsidR="00126323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="00126323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="00126323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Pr="00995AA4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البعد </w:t>
                </w:r>
                <w:r w:rsidR="006F4EDA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>الأول : المستفيدون</w:t>
                </w:r>
              </w:p>
            </w:txbxContent>
          </v:textbox>
        </v:shape>
      </w:pict>
    </w:r>
    <w:r w:rsidR="00891151" w:rsidRPr="002F6ABD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-389831</wp:posOffset>
          </wp:positionV>
          <wp:extent cx="1344930" cy="707367"/>
          <wp:effectExtent l="19050" t="0" r="762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0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7BC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9A95085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A006225"/>
    <w:multiLevelType w:val="hybridMultilevel"/>
    <w:tmpl w:val="D026007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2835"/>
    <w:multiLevelType w:val="hybridMultilevel"/>
    <w:tmpl w:val="78967DA0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47F7E"/>
    <w:multiLevelType w:val="hybridMultilevel"/>
    <w:tmpl w:val="368C1E40"/>
    <w:lvl w:ilvl="0" w:tplc="E41A53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0702"/>
    <w:multiLevelType w:val="hybridMultilevel"/>
    <w:tmpl w:val="F7EEEA06"/>
    <w:lvl w:ilvl="0" w:tplc="6D8E65FA">
      <w:start w:val="1"/>
      <w:numFmt w:val="decimal"/>
      <w:lvlText w:val="(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3C071D"/>
    <w:multiLevelType w:val="multilevel"/>
    <w:tmpl w:val="2D4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F7556B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74B6F6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C136318"/>
    <w:multiLevelType w:val="hybridMultilevel"/>
    <w:tmpl w:val="6B4842BE"/>
    <w:lvl w:ilvl="0" w:tplc="88222596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F35FE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501632F2"/>
    <w:multiLevelType w:val="hybridMultilevel"/>
    <w:tmpl w:val="E5A0AD26"/>
    <w:lvl w:ilvl="0" w:tplc="5434DFE4">
      <w:start w:val="4"/>
      <w:numFmt w:val="bullet"/>
      <w:lvlText w:val="-"/>
      <w:lvlJc w:val="left"/>
      <w:pPr>
        <w:ind w:left="53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>
    <w:nsid w:val="50AF0B44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4575344"/>
    <w:multiLevelType w:val="hybridMultilevel"/>
    <w:tmpl w:val="53D0C03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A2916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A9D7980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5C627702"/>
    <w:multiLevelType w:val="multilevel"/>
    <w:tmpl w:val="368C1E40"/>
    <w:lvl w:ilvl="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E0080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720"/>
      </w:pPr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72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720"/>
      </w:pPr>
    </w:lvl>
    <w:lvl w:ilvl="4">
      <w:start w:val="1"/>
      <w:numFmt w:val="decimal"/>
      <w:lvlText w:val="%5."/>
      <w:lvlJc w:val="left"/>
      <w:pPr>
        <w:tabs>
          <w:tab w:val="num" w:pos="3883"/>
        </w:tabs>
        <w:ind w:left="3883" w:hanging="720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72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72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72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720"/>
      </w:pPr>
    </w:lvl>
  </w:abstractNum>
  <w:abstractNum w:abstractNumId="18">
    <w:nsid w:val="5F127819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FF5122A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647B1353"/>
    <w:multiLevelType w:val="hybridMultilevel"/>
    <w:tmpl w:val="FBA6BB2C"/>
    <w:lvl w:ilvl="0" w:tplc="76EC9702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60483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720"/>
      </w:pPr>
    </w:lvl>
    <w:lvl w:ilvl="1">
      <w:start w:val="1"/>
      <w:numFmt w:val="decimal"/>
      <w:lvlText w:val="%2."/>
      <w:lvlJc w:val="left"/>
      <w:pPr>
        <w:tabs>
          <w:tab w:val="num" w:pos="2290"/>
        </w:tabs>
        <w:ind w:left="2290" w:hanging="720"/>
      </w:pPr>
    </w:lvl>
    <w:lvl w:ilvl="2">
      <w:start w:val="1"/>
      <w:numFmt w:val="decimal"/>
      <w:lvlText w:val="%3."/>
      <w:lvlJc w:val="left"/>
      <w:pPr>
        <w:tabs>
          <w:tab w:val="num" w:pos="3010"/>
        </w:tabs>
        <w:ind w:left="3010" w:hanging="720"/>
      </w:p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720"/>
      </w:pPr>
    </w:lvl>
    <w:lvl w:ilvl="4">
      <w:start w:val="1"/>
      <w:numFmt w:val="decimal"/>
      <w:lvlText w:val="%5."/>
      <w:lvlJc w:val="left"/>
      <w:pPr>
        <w:tabs>
          <w:tab w:val="num" w:pos="4450"/>
        </w:tabs>
        <w:ind w:left="4450" w:hanging="720"/>
      </w:pPr>
    </w:lvl>
    <w:lvl w:ilvl="5">
      <w:start w:val="1"/>
      <w:numFmt w:val="decimal"/>
      <w:lvlText w:val="%6."/>
      <w:lvlJc w:val="left"/>
      <w:pPr>
        <w:tabs>
          <w:tab w:val="num" w:pos="5170"/>
        </w:tabs>
        <w:ind w:left="5170" w:hanging="720"/>
      </w:p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720"/>
      </w:pPr>
    </w:lvl>
    <w:lvl w:ilvl="7">
      <w:start w:val="1"/>
      <w:numFmt w:val="decimal"/>
      <w:lvlText w:val="%8."/>
      <w:lvlJc w:val="left"/>
      <w:pPr>
        <w:tabs>
          <w:tab w:val="num" w:pos="6610"/>
        </w:tabs>
        <w:ind w:left="6610" w:hanging="720"/>
      </w:pPr>
    </w:lvl>
    <w:lvl w:ilvl="8">
      <w:start w:val="1"/>
      <w:numFmt w:val="decimal"/>
      <w:lvlText w:val="%9."/>
      <w:lvlJc w:val="left"/>
      <w:pPr>
        <w:tabs>
          <w:tab w:val="num" w:pos="7330"/>
        </w:tabs>
        <w:ind w:left="7330" w:hanging="720"/>
      </w:pPr>
    </w:lvl>
  </w:abstractNum>
  <w:abstractNum w:abstractNumId="22">
    <w:nsid w:val="69DB5358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BBA1951"/>
    <w:multiLevelType w:val="multilevel"/>
    <w:tmpl w:val="CA0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>
    <w:nsid w:val="6BC70FB1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75521AA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9CF3A9B"/>
    <w:multiLevelType w:val="hybridMultilevel"/>
    <w:tmpl w:val="0888A568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73C34"/>
    <w:multiLevelType w:val="hybridMultilevel"/>
    <w:tmpl w:val="43DCCD80"/>
    <w:lvl w:ilvl="0" w:tplc="78BA1482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53AFC"/>
    <w:multiLevelType w:val="hybridMultilevel"/>
    <w:tmpl w:val="381AC162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5"/>
  </w:num>
  <w:num w:numId="4">
    <w:abstractNumId w:val="7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4"/>
  </w:num>
  <w:num w:numId="9">
    <w:abstractNumId w:val="22"/>
  </w:num>
  <w:num w:numId="10">
    <w:abstractNumId w:val="12"/>
  </w:num>
  <w:num w:numId="11">
    <w:abstractNumId w:val="18"/>
  </w:num>
  <w:num w:numId="12">
    <w:abstractNumId w:val="0"/>
  </w:num>
  <w:num w:numId="13">
    <w:abstractNumId w:val="1"/>
  </w:num>
  <w:num w:numId="14">
    <w:abstractNumId w:val="24"/>
  </w:num>
  <w:num w:numId="15">
    <w:abstractNumId w:val="11"/>
  </w:num>
  <w:num w:numId="16">
    <w:abstractNumId w:val="1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5"/>
  </w:num>
  <w:num w:numId="20">
    <w:abstractNumId w:val="10"/>
  </w:num>
  <w:num w:numId="21">
    <w:abstractNumId w:val="4"/>
  </w:num>
  <w:num w:numId="22">
    <w:abstractNumId w:val="16"/>
  </w:num>
  <w:num w:numId="23">
    <w:abstractNumId w:val="20"/>
  </w:num>
  <w:num w:numId="24">
    <w:abstractNumId w:val="26"/>
  </w:num>
  <w:num w:numId="25">
    <w:abstractNumId w:val="27"/>
  </w:num>
  <w:num w:numId="26">
    <w:abstractNumId w:val="28"/>
  </w:num>
  <w:num w:numId="27">
    <w:abstractNumId w:val="9"/>
  </w:num>
  <w:num w:numId="28">
    <w:abstractNumId w:val="2"/>
  </w:num>
  <w:num w:numId="29">
    <w:abstractNumId w:val="3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7650">
      <o:colormenu v:ext="edit" fillcolor="none" strokecolor="none"/>
    </o:shapedefaults>
    <o:shapelayout v:ext="edit">
      <o:idmap v:ext="edit" data="2"/>
      <o:rules v:ext="edit">
        <o:r id="V:Rule4" type="connector" idref="#_x0000_s2053"/>
        <o:r id="V:Rule5" type="connector" idref="#_x0000_s2052"/>
        <o:r id="V:Rule6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6ABD"/>
    <w:rsid w:val="00047632"/>
    <w:rsid w:val="000779D0"/>
    <w:rsid w:val="000C10AD"/>
    <w:rsid w:val="000E53D0"/>
    <w:rsid w:val="00115A14"/>
    <w:rsid w:val="00126323"/>
    <w:rsid w:val="002454EA"/>
    <w:rsid w:val="00280D46"/>
    <w:rsid w:val="002909FD"/>
    <w:rsid w:val="002F6ABD"/>
    <w:rsid w:val="003842FB"/>
    <w:rsid w:val="00394585"/>
    <w:rsid w:val="003A1BA9"/>
    <w:rsid w:val="003A494A"/>
    <w:rsid w:val="003B1747"/>
    <w:rsid w:val="003C6D61"/>
    <w:rsid w:val="005218C5"/>
    <w:rsid w:val="005339F3"/>
    <w:rsid w:val="0053557D"/>
    <w:rsid w:val="00593D52"/>
    <w:rsid w:val="00614A13"/>
    <w:rsid w:val="00647556"/>
    <w:rsid w:val="00664635"/>
    <w:rsid w:val="00672FE6"/>
    <w:rsid w:val="0068687D"/>
    <w:rsid w:val="006C58B5"/>
    <w:rsid w:val="006F4EDA"/>
    <w:rsid w:val="00756CF6"/>
    <w:rsid w:val="00760E4C"/>
    <w:rsid w:val="00761737"/>
    <w:rsid w:val="007E7BC4"/>
    <w:rsid w:val="00824A55"/>
    <w:rsid w:val="00891151"/>
    <w:rsid w:val="008A2913"/>
    <w:rsid w:val="008F59B9"/>
    <w:rsid w:val="008F655C"/>
    <w:rsid w:val="00903646"/>
    <w:rsid w:val="00995AA4"/>
    <w:rsid w:val="009A0B78"/>
    <w:rsid w:val="009A5860"/>
    <w:rsid w:val="009E5129"/>
    <w:rsid w:val="009F03D5"/>
    <w:rsid w:val="00AA07BA"/>
    <w:rsid w:val="00AC55BF"/>
    <w:rsid w:val="00B423F0"/>
    <w:rsid w:val="00BF70E6"/>
    <w:rsid w:val="00C127BC"/>
    <w:rsid w:val="00C414BE"/>
    <w:rsid w:val="00D0287C"/>
    <w:rsid w:val="00D339B0"/>
    <w:rsid w:val="00DB3BEB"/>
    <w:rsid w:val="00DB4A52"/>
    <w:rsid w:val="00E117BF"/>
    <w:rsid w:val="00E1621C"/>
    <w:rsid w:val="00E35BFC"/>
    <w:rsid w:val="00ED6E3B"/>
    <w:rsid w:val="00F35C87"/>
    <w:rsid w:val="00F412D1"/>
    <w:rsid w:val="00F61B58"/>
    <w:rsid w:val="00FC394A"/>
    <w:rsid w:val="00FC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A4"/>
    <w:pPr>
      <w:bidi/>
      <w:spacing w:after="0" w:line="240" w:lineRule="auto"/>
    </w:pPr>
    <w:rPr>
      <w:rFonts w:ascii="Times New Roman" w:eastAsia="Times New Roman" w:hAnsi="Times New Roman" w:cs="Traditional Arabic"/>
      <w:smallCaps/>
      <w:color w:val="00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6A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ABD"/>
  </w:style>
  <w:style w:type="paragraph" w:styleId="Footer">
    <w:name w:val="footer"/>
    <w:basedOn w:val="Normal"/>
    <w:link w:val="FooterChar"/>
    <w:uiPriority w:val="99"/>
    <w:unhideWhenUsed/>
    <w:rsid w:val="002F6A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ABD"/>
  </w:style>
  <w:style w:type="paragraph" w:styleId="ListParagraph">
    <w:name w:val="List Paragraph"/>
    <w:basedOn w:val="Normal"/>
    <w:uiPriority w:val="99"/>
    <w:qFormat/>
    <w:rsid w:val="00756CF6"/>
    <w:pPr>
      <w:ind w:left="720"/>
      <w:contextualSpacing/>
    </w:pPr>
    <w:rPr>
      <w:rFonts w:cs="AL-Mohanad"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Hamada</cp:lastModifiedBy>
  <cp:revision>6</cp:revision>
  <dcterms:created xsi:type="dcterms:W3CDTF">2011-11-29T17:50:00Z</dcterms:created>
  <dcterms:modified xsi:type="dcterms:W3CDTF">2011-12-01T13:53:00Z</dcterms:modified>
</cp:coreProperties>
</file>