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DF" w:rsidRPr="00726D08" w:rsidRDefault="00CE0ADF" w:rsidP="00CE0ADF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CE0ADF" w:rsidRPr="00726D08" w:rsidRDefault="00CE0ADF" w:rsidP="00CE0ADF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>
        <w:rPr>
          <w:rFonts w:hint="cs"/>
          <w:b/>
          <w:bCs/>
          <w:sz w:val="28"/>
          <w:szCs w:val="28"/>
          <w:rtl/>
        </w:rPr>
        <w:t>الدراسية</w:t>
      </w:r>
    </w:p>
    <w:p w:rsidR="00CE0ADF" w:rsidRDefault="00CE0ADF" w:rsidP="00CE0ADF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CE0ADF" w:rsidRPr="00FB49A3" w:rsidRDefault="00CE0ADF" w:rsidP="00CE0ADF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CE0ADF" w:rsidRDefault="00CE0ADF" w:rsidP="00CE0ADF">
      <w:pPr>
        <w:jc w:val="center"/>
        <w:rPr>
          <w:rtl/>
        </w:rPr>
      </w:pPr>
    </w:p>
    <w:p w:rsidR="00CE0ADF" w:rsidRDefault="00CE0ADF" w:rsidP="00CE0ADF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CE0ADF" w:rsidRPr="00D661A5" w:rsidRDefault="00A5459E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1A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النقد العربي</w:t>
            </w:r>
            <w:r w:rsidR="00FF3423" w:rsidRPr="00D661A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القديم</w:t>
            </w:r>
            <w:r w:rsidRPr="00D661A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CE0ADF" w:rsidRPr="00D661A5" w:rsidRDefault="00A5459E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1A5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ARAB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A5459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المتطلب السابق</w:t>
            </w:r>
            <w:r w:rsidR="00A5459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CE0ADF" w:rsidRPr="00D661A5" w:rsidRDefault="006038D3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1A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لا يوجد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CE0ADF" w:rsidRPr="00D661A5" w:rsidRDefault="006038D3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1A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السادس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CE0ADF" w:rsidRPr="00D661A5" w:rsidRDefault="006038D3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661A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ساعتان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CE0ADF" w:rsidRPr="00FB49A3" w:rsidRDefault="00CE0ADF" w:rsidP="00CE0ADF">
      <w:pPr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E0ADF" w:rsidRPr="007A4106" w:rsidRDefault="00CE0ADF" w:rsidP="00CE0ADF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CE0ADF" w:rsidRPr="00685424" w:rsidTr="00BC2C64">
        <w:trPr>
          <w:trHeight w:val="1030"/>
          <w:jc w:val="center"/>
        </w:trPr>
        <w:tc>
          <w:tcPr>
            <w:tcW w:w="4644" w:type="dxa"/>
          </w:tcPr>
          <w:p w:rsidR="00CE0ADF" w:rsidRPr="00685424" w:rsidRDefault="00C906AB" w:rsidP="001944A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هو مقرر يبحث في نشأ</w:t>
            </w:r>
            <w:r w:rsidR="009F370C">
              <w:rPr>
                <w:rFonts w:cs="Arabic Transparent" w:hint="cs"/>
                <w:sz w:val="28"/>
                <w:szCs w:val="28"/>
                <w:rtl/>
                <w:lang w:bidi="ar-JO"/>
              </w:rPr>
              <w:t>ة النقد الأدبي وصلته بالعلوم الإ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نسانية وسماته عبر مختلف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العصور</w:t>
            </w:r>
            <w:r w:rsidR="001944AC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ونماذج من المواقف النقدية في هذه </w:t>
            </w:r>
            <w:r w:rsidR="001944AC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العصور وتأثره بالعلوم </w:t>
            </w:r>
            <w:proofErr w:type="spellStart"/>
            <w:r w:rsidR="001944AC">
              <w:rPr>
                <w:rFonts w:cs="Arabic Transparent" w:hint="cs"/>
                <w:sz w:val="28"/>
                <w:szCs w:val="28"/>
                <w:rtl/>
                <w:lang w:bidi="ar-JO"/>
              </w:rPr>
              <w:t>المختلفة،</w:t>
            </w:r>
            <w:proofErr w:type="spellEnd"/>
            <w:r w:rsidR="001944AC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كما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يدرس الاتجاهات النقدية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المختلفة</w:t>
            </w:r>
            <w:r w:rsidR="001944AC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واشهر القضايا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النقدية</w:t>
            </w:r>
            <w:r w:rsidR="001944AC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="001944AC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واهم السمات النقدية في </w:t>
            </w:r>
            <w:r w:rsidR="001944AC">
              <w:rPr>
                <w:rFonts w:cs="Arabic Transparent" w:hint="cs"/>
                <w:sz w:val="28"/>
                <w:szCs w:val="28"/>
                <w:rtl/>
                <w:lang w:bidi="ar-JO"/>
              </w:rPr>
              <w:t>أ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شهر البيئات النقدية </w:t>
            </w:r>
            <w:proofErr w:type="spellStart"/>
            <w:r w:rsidR="001944AC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مثل</w:t>
            </w:r>
            <w:r w:rsidR="001944AC">
              <w:rPr>
                <w:rFonts w:cs="Arabic Transparent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الأندلس عند </w:t>
            </w:r>
            <w:r w:rsidR="001944AC">
              <w:rPr>
                <w:rFonts w:cs="Arabic Transparent" w:hint="cs"/>
                <w:sz w:val="28"/>
                <w:szCs w:val="28"/>
                <w:rtl/>
                <w:lang w:bidi="ar-JO"/>
              </w:rPr>
              <w:t>أ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هم نقاده </w:t>
            </w:r>
            <w:r w:rsidR="001944AC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644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E0ADF" w:rsidRPr="00A647DB" w:rsidRDefault="00CE0ADF" w:rsidP="00CE0ADF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CE0ADF" w:rsidRPr="00685424" w:rsidRDefault="00965E14" w:rsidP="000350E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0350E9">
              <w:rPr>
                <w:rFonts w:cs="Arabic Transparent" w:hint="cs"/>
                <w:sz w:val="28"/>
                <w:szCs w:val="28"/>
                <w:rtl/>
                <w:lang w:bidi="ar-JO"/>
              </w:rPr>
              <w:t>تتعرف الطالبة إلى</w:t>
            </w:r>
            <w:r w:rsidR="004940AB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أهم الآراء التي قيلت في نشأة النقد</w:t>
            </w:r>
            <w:r w:rsidR="000350E9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r w:rsidR="004940AB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CE0ADF" w:rsidRPr="00685424" w:rsidRDefault="004226AD" w:rsidP="000350E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تعرف أهم الاتجاهات والمذاهب والبيئات النقدية </w:t>
            </w:r>
            <w:r w:rsidR="000350E9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CE0ADF" w:rsidRPr="00685424" w:rsidRDefault="00965E14" w:rsidP="000350E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4226AD">
              <w:rPr>
                <w:rFonts w:cs="Arabic Transparent" w:hint="cs"/>
                <w:sz w:val="28"/>
                <w:szCs w:val="28"/>
                <w:rtl/>
                <w:lang w:bidi="ar-JO"/>
              </w:rPr>
              <w:t>تدرك أهمية النقد في الارتقاء بالحياة الأدبية</w:t>
            </w:r>
            <w:r w:rsidR="000350E9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CE0ADF" w:rsidRPr="00A647DB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CE0ADF" w:rsidRPr="00A647DB" w:rsidRDefault="00CE0ADF" w:rsidP="00CE0ADF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360B97">
        <w:rPr>
          <w:rFonts w:cs="Arabic Transparent" w:hint="cs"/>
          <w:sz w:val="28"/>
          <w:szCs w:val="28"/>
          <w:rtl/>
          <w:lang w:bidi="ar-JO"/>
        </w:rPr>
        <w:t>ة</w:t>
      </w:r>
      <w:r w:rsidR="00E60383">
        <w:rPr>
          <w:rFonts w:cs="Arabic Transparent" w:hint="cs"/>
          <w:sz w:val="28"/>
          <w:szCs w:val="28"/>
          <w:rtl/>
          <w:lang w:bidi="ar-JO"/>
        </w:rPr>
        <w:t xml:space="preserve"> بعد دراسته لهذه المقرر أن تكون قادرة</w:t>
      </w:r>
      <w:r>
        <w:rPr>
          <w:rFonts w:cs="Arabic Transparent" w:hint="cs"/>
          <w:sz w:val="28"/>
          <w:szCs w:val="28"/>
          <w:rtl/>
          <w:lang w:bidi="ar-JO"/>
        </w:rPr>
        <w:t xml:space="preserve">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CE0ADF" w:rsidRPr="00685424" w:rsidRDefault="004226AD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تميز الطالبة بين النصوص الجيدة والرديئة وتتذوقها </w:t>
            </w:r>
            <w:r w:rsidR="00DA656C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CE0ADF" w:rsidRPr="00685424" w:rsidRDefault="00CE0ADF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CE0ADF" w:rsidRPr="00685424" w:rsidRDefault="004226AD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تصدر أحكاما موضوعية معللة . على بعض النصوص الأدبية </w:t>
            </w:r>
          </w:p>
        </w:tc>
        <w:tc>
          <w:tcPr>
            <w:tcW w:w="4420" w:type="dxa"/>
          </w:tcPr>
          <w:p w:rsidR="00CE0ADF" w:rsidRPr="00685424" w:rsidRDefault="00CE0ADF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CE0ADF" w:rsidRPr="00685424" w:rsidRDefault="004226AD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تحدد تأثير جهود النقاد القدامى في حركة النقد الحديث </w:t>
            </w:r>
            <w:r w:rsidR="00DA656C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CE0ADF" w:rsidRPr="00685424" w:rsidRDefault="00CE0ADF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CE0ADF" w:rsidRPr="00685424" w:rsidRDefault="00CE0ADF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420" w:type="dxa"/>
          </w:tcPr>
          <w:p w:rsidR="00CE0ADF" w:rsidRPr="00685424" w:rsidRDefault="00CE0ADF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CE0ADF" w:rsidRPr="00685424" w:rsidRDefault="00CE0ADF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420" w:type="dxa"/>
          </w:tcPr>
          <w:p w:rsidR="00CE0ADF" w:rsidRPr="00685424" w:rsidRDefault="00CE0ADF" w:rsidP="00DA656C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CE0ADF" w:rsidRDefault="00CE0ADF" w:rsidP="00CE0ADF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1"/>
        <w:gridCol w:w="993"/>
        <w:gridCol w:w="986"/>
      </w:tblGrid>
      <w:tr w:rsidR="00FA31A3" w:rsidRPr="005565FD" w:rsidTr="005565FD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قائمة الموضوعات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عدد الأسابيع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ساعات التدريس </w:t>
            </w:r>
          </w:p>
        </w:tc>
      </w:tr>
      <w:tr w:rsidR="00FA31A3" w:rsidRPr="005565FD" w:rsidTr="005565FD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FA31A3" w:rsidRPr="005565FD" w:rsidTr="005565FD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نشأة النقد الأدبي في العصر الجاهلي وصلته بالعلوم الانسانية قيام النقد في </w:t>
            </w: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 xml:space="preserve">هذا العصر على السليقة والطبع </w:t>
            </w:r>
            <w:proofErr w:type="spellStart"/>
            <w:r w:rsidR="00565083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="0056508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عرض نماذج تكشف عن طبيعة النقد في تلك الفترة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56508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FA31A3" w:rsidRPr="005565FD" w:rsidTr="005565FD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 xml:space="preserve">النقد في صدر الاسلام وبني أمية </w:t>
            </w:r>
            <w:proofErr w:type="spellStart"/>
            <w:r w:rsidR="00565083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="0056508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موقف الرسول صلى الله عليه وسلم من الشعر وتقديره لدوره , نقد عمر للشعر وتذوقه نقد الخلفاء والولاة , نقد الشعراء </w:t>
            </w:r>
            <w:r w:rsidRPr="005565FD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نقد الخاصة : العلماء والفقهاء وأهل الرأي </w:t>
            </w:r>
            <w:r w:rsidRPr="005565FD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نقد النساء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56508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FA31A3" w:rsidRPr="005565FD" w:rsidTr="005565FD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النقد والثقافة : تأثير العلوم الداخلية على النقد , شيوع البديع في الكلام وظهور مذهب الصنعة النقد والأثر اليوناني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56508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FA31A3" w:rsidRPr="005565FD" w:rsidTr="005565FD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691B60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الاتجاهات النقدية عند </w:t>
            </w:r>
            <w:proofErr w:type="spellStart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ابن سلام </w:t>
            </w:r>
            <w:r w:rsidR="00691B6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ـ ابن </w:t>
            </w:r>
            <w:proofErr w:type="spellStart"/>
            <w:r w:rsidR="00691B60">
              <w:rPr>
                <w:rFonts w:cs="Arabic Transparent" w:hint="cs"/>
                <w:sz w:val="28"/>
                <w:szCs w:val="28"/>
                <w:rtl/>
                <w:lang w:bidi="ar-JO"/>
              </w:rPr>
              <w:t>طباطبا</w:t>
            </w:r>
            <w:proofErr w:type="spellEnd"/>
            <w:r w:rsidR="00691B6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5565FD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الجاحظ </w:t>
            </w:r>
            <w:proofErr w:type="spellStart"/>
            <w:r w:rsidRPr="005565FD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ابن </w:t>
            </w:r>
            <w:proofErr w:type="spellStart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قتيبة</w:t>
            </w:r>
            <w:proofErr w:type="spellEnd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5565FD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ابن </w:t>
            </w:r>
            <w:r w:rsidR="00691B6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المعتز</w:t>
            </w:r>
            <w:r w:rsidR="00691B6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="00691B60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="00691B6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أبي هلال العسكري </w:t>
            </w:r>
            <w:proofErr w:type="spellStart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56508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FA31A3" w:rsidRPr="005565FD" w:rsidTr="005565FD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الصراع النقدي حول ابي تمام (</w:t>
            </w:r>
            <w:proofErr w:type="spellStart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الآمدي)</w:t>
            </w:r>
            <w:proofErr w:type="spellEnd"/>
            <w:r w:rsidR="0025494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المعركة النقدية حول المتنبئ (</w:t>
            </w: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الحاتمي </w:t>
            </w:r>
            <w:proofErr w:type="spellStart"/>
            <w:r w:rsidRPr="005565FD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القاضي الجرجاني </w:t>
            </w:r>
            <w:proofErr w:type="spellStart"/>
            <w:r w:rsidRPr="005565FD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الصولي</w:t>
            </w:r>
            <w:proofErr w:type="spellEnd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5565FD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البديعي </w:t>
            </w:r>
            <w:proofErr w:type="spellStart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56508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FA31A3" w:rsidRPr="005565FD" w:rsidTr="005565FD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691B60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أشهر القضايا النقدية : اللفظ والمعنى </w:t>
            </w:r>
            <w:proofErr w:type="spellStart"/>
            <w:r w:rsidRPr="005565FD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691B60">
              <w:rPr>
                <w:rFonts w:cs="Arabic Transparent" w:hint="cs"/>
                <w:sz w:val="28"/>
                <w:szCs w:val="28"/>
                <w:rtl/>
                <w:lang w:bidi="ar-JO"/>
              </w:rPr>
              <w:t>السرقات الشعرية ــ القديم والحديث ــ مفهوم</w:t>
            </w: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الشعر </w:t>
            </w:r>
            <w:proofErr w:type="spellStart"/>
            <w:r w:rsidRPr="005565FD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الطبع والصنعة </w:t>
            </w:r>
            <w:proofErr w:type="spellStart"/>
            <w:r w:rsidRPr="005565FD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="00691B6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عمود الشعر ــ </w:t>
            </w: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الإعجاز </w:t>
            </w:r>
            <w:proofErr w:type="spellStart"/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القرآني</w:t>
            </w:r>
            <w:r w:rsidR="00691B60">
              <w:rPr>
                <w:rFonts w:cs="Arabic Transparent" w:hint="cs"/>
                <w:sz w:val="28"/>
                <w:szCs w:val="28"/>
                <w:rtl/>
                <w:lang w:bidi="ar-JO"/>
              </w:rPr>
              <w:t>..</w:t>
            </w:r>
            <w:proofErr w:type="spellEnd"/>
            <w:r w:rsidR="00691B6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الخ.</w:t>
            </w: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56508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  <w:r w:rsidR="00FA31A3"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31A3" w:rsidRPr="005565FD" w:rsidTr="005565FD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254940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النقد في الأ</w:t>
            </w:r>
            <w:r w:rsidR="00FA31A3"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ندلس </w:t>
            </w:r>
            <w:proofErr w:type="spellStart"/>
            <w:r w:rsidR="00FA31A3"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proofErr w:type="spellEnd"/>
            <w:r w:rsidR="00FA31A3"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ابن شهيد </w:t>
            </w:r>
            <w:proofErr w:type="spellStart"/>
            <w:r w:rsidR="00FA31A3" w:rsidRPr="005565FD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="00FA31A3"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حازم </w:t>
            </w:r>
            <w:proofErr w:type="spellStart"/>
            <w:r w:rsidR="00FA31A3"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القرطاجني</w:t>
            </w:r>
            <w:proofErr w:type="spellEnd"/>
            <w:r w:rsidR="00FA31A3"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="00FA31A3"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565083" w:rsidP="005565F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FA31A3" w:rsidRPr="005565FD" w:rsidTr="005565FD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A3" w:rsidRPr="005565FD" w:rsidRDefault="00FA31A3" w:rsidP="005565FD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5565FD">
              <w:rPr>
                <w:rFonts w:cs="Arabic Transparent" w:hint="cs"/>
                <w:sz w:val="28"/>
                <w:szCs w:val="28"/>
                <w:rtl/>
                <w:lang w:bidi="ar-JO"/>
              </w:rPr>
              <w:t>30</w:t>
            </w:r>
          </w:p>
        </w:tc>
      </w:tr>
    </w:tbl>
    <w:p w:rsidR="00FA31A3" w:rsidRPr="00FB49A3" w:rsidRDefault="00FA31A3" w:rsidP="005565FD">
      <w:pPr>
        <w:jc w:val="lowKashida"/>
        <w:rPr>
          <w:rFonts w:cs="Arabic Transparent"/>
          <w:sz w:val="28"/>
          <w:szCs w:val="28"/>
          <w:rtl/>
          <w:lang w:bidi="ar-JO"/>
        </w:rPr>
      </w:pPr>
    </w:p>
    <w:p w:rsidR="00CE0ADF" w:rsidRPr="005565FD" w:rsidRDefault="00CE0ADF" w:rsidP="005565FD">
      <w:pPr>
        <w:jc w:val="lowKashida"/>
        <w:rPr>
          <w:rFonts w:cs="Arabic Transparent"/>
          <w:sz w:val="28"/>
          <w:szCs w:val="28"/>
          <w:rtl/>
          <w:lang w:bidi="ar-JO"/>
        </w:rPr>
      </w:pPr>
    </w:p>
    <w:p w:rsidR="00CE0ADF" w:rsidRPr="00FB49A3" w:rsidRDefault="00CE0ADF" w:rsidP="00CE0ADF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FF54EC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FF54EC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الكتاب المقرر</w:t>
            </w:r>
          </w:p>
          <w:p w:rsidR="00CE0ADF" w:rsidRPr="00FF54EC" w:rsidRDefault="00CE0ADF" w:rsidP="00BC2C64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FF54EC">
              <w:rPr>
                <w:rFonts w:cs="Arabic Transparent"/>
                <w:sz w:val="28"/>
                <w:szCs w:val="28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CE0ADF" w:rsidRPr="00FF54EC" w:rsidRDefault="00FA31A3" w:rsidP="0020280C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FF54EC">
              <w:rPr>
                <w:rFonts w:cs="Arabic Transparent" w:hint="cs"/>
                <w:sz w:val="28"/>
                <w:szCs w:val="28"/>
                <w:rtl/>
                <w:lang w:bidi="ar-JO"/>
              </w:rPr>
              <w:t>في النقد الأدبي</w:t>
            </w:r>
            <w:r w:rsidR="00526C65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FF54EC" w:rsidRDefault="00526C65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المؤلف (رئيس</w:t>
            </w:r>
            <w:proofErr w:type="spellStart"/>
            <w:r w:rsidR="00CE0ADF" w:rsidRPr="00FF54EC"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CE0ADF" w:rsidRPr="00FF54EC" w:rsidRDefault="00CE0ADF" w:rsidP="00BC2C64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FF54EC">
              <w:rPr>
                <w:rFonts w:cs="Arabic Transparent"/>
                <w:sz w:val="28"/>
                <w:szCs w:val="28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CE0ADF" w:rsidRPr="00FF54EC" w:rsidRDefault="00FA31A3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FF54EC">
              <w:rPr>
                <w:rFonts w:cs="Arabic Transparent" w:hint="cs"/>
                <w:sz w:val="28"/>
                <w:szCs w:val="28"/>
                <w:rtl/>
                <w:lang w:bidi="ar-JO"/>
              </w:rPr>
              <w:t>د/ السيد أحمد عمارة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FF54EC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FF54EC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الناشر</w:t>
            </w:r>
          </w:p>
          <w:p w:rsidR="00CE0ADF" w:rsidRPr="00FF54EC" w:rsidRDefault="00CE0ADF" w:rsidP="00BC2C64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FF54EC">
              <w:rPr>
                <w:rFonts w:cs="Arabic Transparent"/>
                <w:sz w:val="28"/>
                <w:szCs w:val="28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CE0ADF" w:rsidRPr="00FF54EC" w:rsidRDefault="00FA31A3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FF54EC">
              <w:rPr>
                <w:rFonts w:cs="Arabic Transparent" w:hint="cs"/>
                <w:sz w:val="28"/>
                <w:szCs w:val="28"/>
                <w:rtl/>
                <w:lang w:bidi="ar-JO"/>
              </w:rPr>
              <w:t>مكتبة الرشد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FF54EC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FF54EC">
              <w:rPr>
                <w:rFonts w:cs="Arabic Transparent" w:hint="cs"/>
                <w:sz w:val="28"/>
                <w:szCs w:val="28"/>
                <w:rtl/>
                <w:lang w:bidi="ar-JO"/>
              </w:rPr>
              <w:t>سنة النشر</w:t>
            </w:r>
          </w:p>
          <w:p w:rsidR="00CE0ADF" w:rsidRPr="00FF54EC" w:rsidRDefault="00CE0ADF" w:rsidP="00BC2C64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FF54EC">
              <w:rPr>
                <w:rFonts w:cs="Arabic Transparent"/>
                <w:sz w:val="28"/>
                <w:szCs w:val="28"/>
                <w:lang w:bidi="ar-JO"/>
              </w:rPr>
              <w:lastRenderedPageBreak/>
              <w:t>Publishing Year</w:t>
            </w:r>
          </w:p>
        </w:tc>
        <w:tc>
          <w:tcPr>
            <w:tcW w:w="6805" w:type="dxa"/>
          </w:tcPr>
          <w:p w:rsidR="00CE0ADF" w:rsidRPr="00FF54EC" w:rsidRDefault="00FA31A3" w:rsidP="00BC2C64">
            <w:pPr>
              <w:rPr>
                <w:rFonts w:cs="Arabic Transparent" w:hint="cs"/>
                <w:sz w:val="28"/>
                <w:szCs w:val="28"/>
                <w:rtl/>
              </w:rPr>
            </w:pPr>
            <w:r w:rsidRPr="00FF54EC"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1425</w:t>
            </w:r>
            <w:r w:rsidR="00FF54EC">
              <w:rPr>
                <w:rFonts w:cs="Arabic Transparent" w:hint="cs"/>
                <w:sz w:val="28"/>
                <w:szCs w:val="28"/>
                <w:rtl/>
              </w:rPr>
              <w:t>هــ .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المرجع (1</w:t>
            </w:r>
            <w:proofErr w:type="spellStart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CE0ADF" w:rsidRPr="009F370C" w:rsidRDefault="00916996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F370C">
              <w:rPr>
                <w:rFonts w:cs="Arabic Transparent"/>
                <w:sz w:val="28"/>
                <w:szCs w:val="28"/>
                <w:rtl/>
                <w:lang w:bidi="ar-JO"/>
              </w:rPr>
              <w:t>النقد العربي القديم</w:t>
            </w:r>
            <w:r w:rsidR="009F370C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CE0ADF" w:rsidRPr="009F370C" w:rsidRDefault="00916996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hyperlink r:id="rId6" w:history="1">
              <w:r w:rsidRPr="009F370C">
                <w:rPr>
                  <w:rFonts w:cs="Arabic Transparent"/>
                  <w:sz w:val="28"/>
                  <w:szCs w:val="28"/>
                  <w:rtl/>
                  <w:lang w:bidi="ar-JO"/>
                </w:rPr>
                <w:t>رائد جميل عكاشة</w:t>
              </w:r>
            </w:hyperlink>
            <w:r w:rsidRPr="009F370C">
              <w:rPr>
                <w:rFonts w:cs="Arabic Transparent"/>
                <w:sz w:val="28"/>
                <w:szCs w:val="28"/>
                <w:rtl/>
                <w:lang w:bidi="ar-JO"/>
              </w:rPr>
              <w:t>،</w:t>
            </w:r>
            <w:r w:rsidRPr="009F370C">
              <w:rPr>
                <w:rFonts w:cs="Arabic Transparent"/>
                <w:sz w:val="28"/>
                <w:szCs w:val="28"/>
                <w:lang w:bidi="ar-JO"/>
              </w:rPr>
              <w:t> </w:t>
            </w:r>
            <w:hyperlink r:id="rId7" w:history="1">
              <w:r w:rsidRPr="009F370C">
                <w:rPr>
                  <w:rFonts w:cs="Arabic Transparent"/>
                  <w:sz w:val="28"/>
                  <w:szCs w:val="28"/>
                  <w:rtl/>
                  <w:lang w:bidi="ar-JO"/>
                </w:rPr>
                <w:t xml:space="preserve">منذر </w:t>
              </w:r>
              <w:proofErr w:type="spellStart"/>
              <w:r w:rsidRPr="009F370C">
                <w:rPr>
                  <w:rFonts w:cs="Arabic Transparent"/>
                  <w:sz w:val="28"/>
                  <w:szCs w:val="28"/>
                  <w:rtl/>
                  <w:lang w:bidi="ar-JO"/>
                </w:rPr>
                <w:t>ذيب</w:t>
              </w:r>
              <w:proofErr w:type="spellEnd"/>
              <w:r w:rsidRPr="009F370C">
                <w:rPr>
                  <w:rFonts w:cs="Arabic Transparent"/>
                  <w:sz w:val="28"/>
                  <w:szCs w:val="28"/>
                  <w:rtl/>
                  <w:lang w:bidi="ar-JO"/>
                </w:rPr>
                <w:t xml:space="preserve"> </w:t>
              </w:r>
              <w:proofErr w:type="spellStart"/>
              <w:r w:rsidRPr="009F370C">
                <w:rPr>
                  <w:rFonts w:cs="Arabic Transparent"/>
                  <w:sz w:val="28"/>
                  <w:szCs w:val="28"/>
                  <w:rtl/>
                  <w:lang w:bidi="ar-JO"/>
                </w:rPr>
                <w:t>كفافي</w:t>
              </w:r>
            </w:hyperlink>
            <w:r w:rsidRPr="009F370C">
              <w:rPr>
                <w:rFonts w:cs="Arabic Transparent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F370C">
              <w:rPr>
                <w:rFonts w:cs="Arabic Transparent"/>
                <w:sz w:val="28"/>
                <w:szCs w:val="28"/>
                <w:lang w:bidi="ar-JO"/>
              </w:rPr>
              <w:t> </w:t>
            </w:r>
            <w:hyperlink r:id="rId8" w:history="1">
              <w:r w:rsidRPr="009F370C">
                <w:rPr>
                  <w:rFonts w:cs="Arabic Transparent"/>
                  <w:sz w:val="28"/>
                  <w:szCs w:val="28"/>
                  <w:rtl/>
                  <w:lang w:bidi="ar-JO"/>
                </w:rPr>
                <w:t>سامي يوسف أبو زيد</w:t>
              </w:r>
            </w:hyperlink>
            <w:r w:rsidRPr="009F370C">
              <w:rPr>
                <w:rFonts w:cs="Arabic Transparent"/>
                <w:sz w:val="28"/>
                <w:szCs w:val="28"/>
                <w:lang w:bidi="ar-JO"/>
              </w:rPr>
              <w:t> 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CE0ADF" w:rsidRPr="009F370C" w:rsidRDefault="00916996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F370C">
              <w:rPr>
                <w:rFonts w:cs="Arabic Transparent"/>
                <w:sz w:val="28"/>
                <w:szCs w:val="28"/>
                <w:rtl/>
                <w:lang w:bidi="ar-JO"/>
              </w:rPr>
              <w:t>دار المسيرة للطباعة والنشر</w:t>
            </w:r>
            <w:r w:rsidR="009F370C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CE0ADF" w:rsidRPr="009F370C" w:rsidRDefault="00916996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F370C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الطبعة الأولى </w:t>
            </w:r>
            <w:proofErr w:type="spellStart"/>
            <w:r w:rsidRPr="009F370C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F370C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2011 م </w:t>
            </w:r>
          </w:p>
        </w:tc>
      </w:tr>
    </w:tbl>
    <w:p w:rsidR="00CE0ADF" w:rsidRDefault="00CE0ADF" w:rsidP="00CE0ADF">
      <w:pPr>
        <w:rPr>
          <w:rtl/>
        </w:rPr>
      </w:pPr>
    </w:p>
    <w:p w:rsidR="00CE0ADF" w:rsidRDefault="00CE0ADF" w:rsidP="00CE0ADF">
      <w:proofErr w:type="spellStart"/>
      <w:r>
        <w:rPr>
          <w:rFonts w:hint="cs"/>
          <w:rtl/>
        </w:rPr>
        <w:t>ملاحظة:</w:t>
      </w:r>
      <w:proofErr w:type="spellEnd"/>
      <w:r>
        <w:rPr>
          <w:rFonts w:hint="cs"/>
          <w:rtl/>
        </w:rPr>
        <w:t xml:space="preserve"> يمكن اضافة مراجع اخرى بحيث لا تتجاوز 3 مراجع على الاكثر.</w:t>
      </w:r>
    </w:p>
    <w:p w:rsidR="00CF48C0" w:rsidRPr="00CE0ADF" w:rsidRDefault="00CF48C0"/>
    <w:sectPr w:rsidR="00CF48C0" w:rsidRPr="00CE0ADF" w:rsidSect="00A647DB">
      <w:head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95" w:rsidRDefault="00575695" w:rsidP="00780A6B">
      <w:pPr>
        <w:spacing w:after="0" w:line="240" w:lineRule="auto"/>
      </w:pPr>
      <w:r>
        <w:separator/>
      </w:r>
    </w:p>
  </w:endnote>
  <w:endnote w:type="continuationSeparator" w:id="0">
    <w:p w:rsidR="00575695" w:rsidRDefault="00575695" w:rsidP="0078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95" w:rsidRDefault="00575695" w:rsidP="00780A6B">
      <w:pPr>
        <w:spacing w:after="0" w:line="240" w:lineRule="auto"/>
      </w:pPr>
      <w:r>
        <w:separator/>
      </w:r>
    </w:p>
  </w:footnote>
  <w:footnote w:type="continuationSeparator" w:id="0">
    <w:p w:rsidR="00575695" w:rsidRDefault="00575695" w:rsidP="0078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CE0ADF" w:rsidP="007931B4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ADF"/>
    <w:rsid w:val="000350E9"/>
    <w:rsid w:val="001944AC"/>
    <w:rsid w:val="0020280C"/>
    <w:rsid w:val="00254940"/>
    <w:rsid w:val="00360B97"/>
    <w:rsid w:val="003A4ED2"/>
    <w:rsid w:val="004226AD"/>
    <w:rsid w:val="004940AB"/>
    <w:rsid w:val="00526C65"/>
    <w:rsid w:val="005565FD"/>
    <w:rsid w:val="00565083"/>
    <w:rsid w:val="00575695"/>
    <w:rsid w:val="006038D3"/>
    <w:rsid w:val="00622800"/>
    <w:rsid w:val="00691B60"/>
    <w:rsid w:val="00780A6B"/>
    <w:rsid w:val="0090246F"/>
    <w:rsid w:val="00916996"/>
    <w:rsid w:val="00965E14"/>
    <w:rsid w:val="009F370C"/>
    <w:rsid w:val="00A5459E"/>
    <w:rsid w:val="00B94EF5"/>
    <w:rsid w:val="00C906AB"/>
    <w:rsid w:val="00CA72DC"/>
    <w:rsid w:val="00CD509A"/>
    <w:rsid w:val="00CE0ADF"/>
    <w:rsid w:val="00CF48C0"/>
    <w:rsid w:val="00D661A5"/>
    <w:rsid w:val="00DA656C"/>
    <w:rsid w:val="00E60383"/>
    <w:rsid w:val="00EC1885"/>
    <w:rsid w:val="00FA31A3"/>
    <w:rsid w:val="00FF3423"/>
    <w:rsid w:val="00FF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DF"/>
    <w:pPr>
      <w:bidi/>
    </w:pPr>
    <w:rPr>
      <w:rFonts w:eastAsiaTheme="minorEastAsia"/>
    </w:rPr>
  </w:style>
  <w:style w:type="paragraph" w:styleId="7">
    <w:name w:val="heading 7"/>
    <w:basedOn w:val="a"/>
    <w:next w:val="a"/>
    <w:link w:val="7Char"/>
    <w:uiPriority w:val="99"/>
    <w:unhideWhenUsed/>
    <w:qFormat/>
    <w:rsid w:val="00FA31A3"/>
    <w:pPr>
      <w:bidi w:val="0"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CE0ADF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CE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E0ADF"/>
    <w:rPr>
      <w:rFonts w:ascii="Tahoma" w:eastAsiaTheme="minorEastAsia" w:hAnsi="Tahoma" w:cs="Tahoma"/>
      <w:sz w:val="16"/>
      <w:szCs w:val="16"/>
    </w:rPr>
  </w:style>
  <w:style w:type="character" w:customStyle="1" w:styleId="7Char">
    <w:name w:val="عنوان 7 Char"/>
    <w:basedOn w:val="a0"/>
    <w:link w:val="7"/>
    <w:uiPriority w:val="99"/>
    <w:rsid w:val="00FA31A3"/>
    <w:rPr>
      <w:rFonts w:ascii="Calibri" w:eastAsia="Times New Roman" w:hAnsi="Calibri" w:cs="Arial"/>
      <w:sz w:val="24"/>
      <w:szCs w:val="24"/>
      <w:lang w:val="en-AU"/>
    </w:rPr>
  </w:style>
  <w:style w:type="character" w:styleId="Hyperlink">
    <w:name w:val="Hyperlink"/>
    <w:basedOn w:val="a0"/>
    <w:uiPriority w:val="99"/>
    <w:semiHidden/>
    <w:unhideWhenUsed/>
    <w:rsid w:val="009169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6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elwafurat.com/locate.aspx?mode=1&amp;search=author1&amp;entry=%D3%C7%E3%ED%20%ED%E6%D3%DD%20%C3%C8%E6%20%D2%ED%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elwafurat.com/locate.aspx?mode=1&amp;search=author1&amp;entry=%E3%E4%D0%D1%20%D0%ED%C8%20%DF%DD%C7%DD%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elwafurat.com/locate.aspx?mode=1&amp;search=author1&amp;entry=%D1%C7%C6%CF%20%CC%E3%ED%E1%20%DA%DF%C7%D4%C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dell 35</cp:lastModifiedBy>
  <cp:revision>25</cp:revision>
  <dcterms:created xsi:type="dcterms:W3CDTF">2013-03-03T04:00:00Z</dcterms:created>
  <dcterms:modified xsi:type="dcterms:W3CDTF">2013-03-07T21:14:00Z</dcterms:modified>
</cp:coreProperties>
</file>